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865D9" w14:textId="77777777" w:rsidR="00EA573E" w:rsidRDefault="00B2191D" w:rsidP="00B2191D">
      <w:pPr>
        <w:spacing w:line="360" w:lineRule="auto"/>
        <w:jc w:val="right"/>
        <w:rPr>
          <w:lang w:val="tr-TR"/>
        </w:rPr>
      </w:pPr>
      <w:r>
        <w:rPr>
          <w:lang w:val="tr-TR"/>
        </w:rPr>
        <w:t>.../.../ .......</w:t>
      </w:r>
    </w:p>
    <w:p w14:paraId="36D82759" w14:textId="77777777" w:rsidR="00EA573E" w:rsidRDefault="00EA573E" w:rsidP="00EA573E">
      <w:pPr>
        <w:spacing w:line="360" w:lineRule="auto"/>
        <w:jc w:val="center"/>
        <w:rPr>
          <w:lang w:val="tr-TR"/>
        </w:rPr>
      </w:pPr>
    </w:p>
    <w:p w14:paraId="1D6A624B" w14:textId="209EB181" w:rsidR="006820B9" w:rsidRDefault="00165F36" w:rsidP="00EA573E">
      <w:pPr>
        <w:spacing w:line="360" w:lineRule="auto"/>
        <w:jc w:val="center"/>
        <w:rPr>
          <w:lang w:val="tr-TR"/>
        </w:rPr>
      </w:pPr>
      <w:r>
        <w:rPr>
          <w:lang w:val="tr-TR"/>
        </w:rPr>
        <w:t xml:space="preserve">Boğaziçi Üniversitesi </w:t>
      </w:r>
      <w:r w:rsidR="005B388A">
        <w:rPr>
          <w:lang w:val="tr-TR"/>
        </w:rPr>
        <w:t>Biyomedikal Mühendisliği Enstitüsü Müdürlüğü’ne,</w:t>
      </w:r>
    </w:p>
    <w:p w14:paraId="030C73C4" w14:textId="38FDB806" w:rsidR="00165F36" w:rsidRDefault="00165F36" w:rsidP="00EA573E">
      <w:pPr>
        <w:spacing w:line="360" w:lineRule="auto"/>
        <w:jc w:val="center"/>
        <w:rPr>
          <w:lang w:val="tr-TR"/>
        </w:rPr>
      </w:pPr>
      <w:r>
        <w:rPr>
          <w:lang w:val="tr-TR"/>
        </w:rPr>
        <w:t>Kandilli, Üsküdar, İstanbul</w:t>
      </w:r>
    </w:p>
    <w:p w14:paraId="15498C60" w14:textId="77777777" w:rsidR="004D715C" w:rsidRDefault="004D715C" w:rsidP="00EA573E">
      <w:pPr>
        <w:spacing w:line="360" w:lineRule="auto"/>
        <w:jc w:val="center"/>
        <w:rPr>
          <w:lang w:val="tr-TR"/>
        </w:rPr>
      </w:pPr>
    </w:p>
    <w:p w14:paraId="419AEA09" w14:textId="6238AA7E" w:rsidR="004D715C" w:rsidRDefault="00165F36" w:rsidP="004D715C">
      <w:pPr>
        <w:spacing w:line="360" w:lineRule="auto"/>
        <w:jc w:val="both"/>
        <w:rPr>
          <w:lang w:val="tr-TR"/>
        </w:rPr>
      </w:pPr>
      <w:r>
        <w:rPr>
          <w:lang w:val="tr-TR"/>
        </w:rPr>
        <w:t>‘</w:t>
      </w:r>
      <w:r w:rsidR="004D715C">
        <w:rPr>
          <w:lang w:val="tr-TR"/>
        </w:rPr>
        <w:t xml:space="preserve">Lisansüstü Tezlerin Elektronik Ortamda Toplanması, Düzenlenmesi ve Erişime Açılmasına İlişkin </w:t>
      </w:r>
      <w:proofErr w:type="spellStart"/>
      <w:r w:rsidR="004D715C">
        <w:rPr>
          <w:lang w:val="tr-TR"/>
        </w:rPr>
        <w:t>Yönerge</w:t>
      </w:r>
      <w:r>
        <w:rPr>
          <w:lang w:val="tr-TR"/>
        </w:rPr>
        <w:t>’</w:t>
      </w:r>
      <w:r w:rsidR="004D715C">
        <w:rPr>
          <w:lang w:val="tr-TR"/>
        </w:rPr>
        <w:t>nin</w:t>
      </w:r>
      <w:proofErr w:type="spellEnd"/>
      <w:r w:rsidR="004D715C">
        <w:rPr>
          <w:lang w:val="tr-TR"/>
        </w:rPr>
        <w:t xml:space="preserve"> 6. maddesi kapsamında</w:t>
      </w:r>
      <w:r>
        <w:rPr>
          <w:lang w:val="tr-TR"/>
        </w:rPr>
        <w:t>,</w:t>
      </w:r>
      <w:r w:rsidR="004D715C">
        <w:rPr>
          <w:lang w:val="tr-TR"/>
        </w:rPr>
        <w:t xml:space="preserve"> </w:t>
      </w:r>
      <w:r w:rsidR="003B7598">
        <w:rPr>
          <w:lang w:val="tr-TR"/>
        </w:rPr>
        <w:t xml:space="preserve">aşağıda </w:t>
      </w:r>
      <w:r w:rsidR="004D715C">
        <w:rPr>
          <w:lang w:val="tr-TR"/>
        </w:rPr>
        <w:t>adı soyadı</w:t>
      </w:r>
      <w:r>
        <w:rPr>
          <w:lang w:val="tr-TR"/>
        </w:rPr>
        <w:t xml:space="preserve"> ve</w:t>
      </w:r>
      <w:r w:rsidR="004D715C">
        <w:rPr>
          <w:lang w:val="tr-TR"/>
        </w:rPr>
        <w:t xml:space="preserve"> tez başlığı belirtilen öğrencimin tezinin elektronik ortamda erişime açılması</w:t>
      </w:r>
      <w:r>
        <w:rPr>
          <w:lang w:val="tr-TR"/>
        </w:rPr>
        <w:t>na işaretlenen gerekçe ve süre</w:t>
      </w:r>
      <w:bookmarkStart w:id="0" w:name="_GoBack"/>
      <w:bookmarkEnd w:id="0"/>
      <w:r>
        <w:rPr>
          <w:lang w:val="tr-TR"/>
        </w:rPr>
        <w:t xml:space="preserve"> ile</w:t>
      </w:r>
      <w:r w:rsidR="004D715C">
        <w:rPr>
          <w:lang w:val="tr-TR"/>
        </w:rPr>
        <w:t xml:space="preserve"> kısıt konması için gereğini arz ederim</w:t>
      </w:r>
      <w:r w:rsidR="003B7598">
        <w:rPr>
          <w:lang w:val="tr-TR"/>
        </w:rPr>
        <w:t>.</w:t>
      </w:r>
    </w:p>
    <w:p w14:paraId="6F1126B8" w14:textId="77777777" w:rsidR="004D715C" w:rsidRDefault="004D715C" w:rsidP="004D715C">
      <w:pPr>
        <w:spacing w:line="360" w:lineRule="auto"/>
        <w:jc w:val="both"/>
        <w:rPr>
          <w:lang w:val="tr-TR"/>
        </w:rPr>
      </w:pPr>
    </w:p>
    <w:p w14:paraId="00075DAE" w14:textId="2DA62C98" w:rsidR="004D715C" w:rsidRDefault="004D715C" w:rsidP="004D715C">
      <w:pPr>
        <w:spacing w:line="360" w:lineRule="auto"/>
        <w:jc w:val="both"/>
        <w:rPr>
          <w:lang w:val="tr-TR"/>
        </w:rPr>
      </w:pPr>
      <w:r>
        <w:rPr>
          <w:lang w:val="tr-TR"/>
        </w:rPr>
        <w:t>Saygılarımla</w:t>
      </w:r>
      <w:r w:rsidR="003B7598">
        <w:rPr>
          <w:lang w:val="tr-TR"/>
        </w:rPr>
        <w:t>,</w:t>
      </w:r>
    </w:p>
    <w:p w14:paraId="35A18100" w14:textId="77777777" w:rsidR="00EA573E" w:rsidRDefault="00EA573E" w:rsidP="004D715C">
      <w:pPr>
        <w:spacing w:line="360" w:lineRule="auto"/>
        <w:jc w:val="both"/>
        <w:rPr>
          <w:lang w:val="tr-TR"/>
        </w:rPr>
      </w:pPr>
    </w:p>
    <w:p w14:paraId="0FDEBDF6" w14:textId="77777777" w:rsidR="00562D07" w:rsidRDefault="00562D07" w:rsidP="004D715C">
      <w:pPr>
        <w:spacing w:line="360" w:lineRule="auto"/>
        <w:jc w:val="both"/>
        <w:rPr>
          <w:lang w:val="tr-TR"/>
        </w:rPr>
      </w:pPr>
    </w:p>
    <w:p w14:paraId="6F2A4920" w14:textId="77777777" w:rsidR="00EA573E" w:rsidRDefault="00EA573E" w:rsidP="004D715C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Tez Danışmanın Adı/ Soyadı </w:t>
      </w:r>
    </w:p>
    <w:p w14:paraId="44444AC2" w14:textId="77777777" w:rsidR="004D715C" w:rsidRDefault="00EA573E" w:rsidP="004D715C">
      <w:pPr>
        <w:spacing w:line="360" w:lineRule="auto"/>
        <w:jc w:val="both"/>
        <w:rPr>
          <w:lang w:val="tr-TR"/>
        </w:rPr>
      </w:pPr>
      <w:r>
        <w:rPr>
          <w:lang w:val="tr-TR"/>
        </w:rPr>
        <w:t>(İmza)</w:t>
      </w:r>
    </w:p>
    <w:p w14:paraId="0AF4D151" w14:textId="77777777" w:rsidR="00EA573E" w:rsidRDefault="00EA573E" w:rsidP="004D715C">
      <w:pPr>
        <w:spacing w:line="360" w:lineRule="auto"/>
        <w:jc w:val="both"/>
        <w:rPr>
          <w:lang w:val="tr-TR"/>
        </w:rPr>
      </w:pPr>
    </w:p>
    <w:p w14:paraId="6D0EC5EC" w14:textId="77777777" w:rsidR="00EA573E" w:rsidRDefault="00EA573E" w:rsidP="004D715C">
      <w:pPr>
        <w:spacing w:line="360" w:lineRule="auto"/>
        <w:jc w:val="both"/>
        <w:rPr>
          <w:lang w:val="tr-TR"/>
        </w:rPr>
      </w:pPr>
    </w:p>
    <w:p w14:paraId="6ACBE319" w14:textId="77777777" w:rsidR="00D415A4" w:rsidRDefault="00D415A4" w:rsidP="004D715C">
      <w:pPr>
        <w:spacing w:line="360" w:lineRule="auto"/>
        <w:jc w:val="both"/>
        <w:rPr>
          <w:lang w:val="tr-TR"/>
        </w:rPr>
      </w:pPr>
      <w:r>
        <w:rPr>
          <w:lang w:val="tr-TR"/>
        </w:rPr>
        <w:t>Öğrencinin Adı Soyadı</w:t>
      </w:r>
      <w:r w:rsidR="00EA573E">
        <w:rPr>
          <w:lang w:val="tr-TR"/>
        </w:rPr>
        <w:t>:</w:t>
      </w:r>
    </w:p>
    <w:p w14:paraId="2AD4135F" w14:textId="40D28A55" w:rsidR="00D415A4" w:rsidRDefault="00D415A4" w:rsidP="004D715C">
      <w:pPr>
        <w:spacing w:line="360" w:lineRule="auto"/>
        <w:jc w:val="both"/>
        <w:rPr>
          <w:lang w:val="tr-TR"/>
        </w:rPr>
      </w:pPr>
      <w:r>
        <w:rPr>
          <w:lang w:val="tr-TR"/>
        </w:rPr>
        <w:t>Tez Başlığı</w:t>
      </w:r>
      <w:r w:rsidR="00EA573E">
        <w:rPr>
          <w:lang w:val="tr-TR"/>
        </w:rPr>
        <w:tab/>
      </w:r>
      <w:r w:rsidR="003B7598">
        <w:rPr>
          <w:lang w:val="tr-TR"/>
        </w:rPr>
        <w:t xml:space="preserve">           </w:t>
      </w:r>
      <w:proofErr w:type="gramStart"/>
      <w:r w:rsidR="003B7598">
        <w:rPr>
          <w:lang w:val="tr-TR"/>
        </w:rPr>
        <w:t xml:space="preserve">  </w:t>
      </w:r>
      <w:r w:rsidR="00EA573E">
        <w:rPr>
          <w:lang w:val="tr-TR"/>
        </w:rPr>
        <w:t>:</w:t>
      </w:r>
      <w:proofErr w:type="gramEnd"/>
    </w:p>
    <w:p w14:paraId="24F7DC89" w14:textId="77777777" w:rsidR="00D415A4" w:rsidRDefault="00D415A4" w:rsidP="004D715C">
      <w:pPr>
        <w:spacing w:line="360" w:lineRule="auto"/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25A8" wp14:editId="239F69DC">
                <wp:simplePos x="0" y="0"/>
                <wp:positionH relativeFrom="column">
                  <wp:posOffset>27668</wp:posOffset>
                </wp:positionH>
                <wp:positionV relativeFrom="paragraph">
                  <wp:posOffset>197667</wp:posOffset>
                </wp:positionV>
                <wp:extent cx="222068" cy="235132"/>
                <wp:effectExtent l="0" t="0" r="698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" cy="235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528A0D" id="Rectangle 1" o:spid="_x0000_s1026" style="position:absolute;margin-left:2.2pt;margin-top:15.55pt;width:17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" fillcolor="white [3201]" strokecolor="#70ad47 [3209]" strokeweight="1pt"/>
            </w:pict>
          </mc:Fallback>
        </mc:AlternateContent>
      </w:r>
    </w:p>
    <w:p w14:paraId="53D43003" w14:textId="77777777" w:rsidR="00D415A4" w:rsidRDefault="004D715C" w:rsidP="00D415A4">
      <w:pPr>
        <w:spacing w:line="360" w:lineRule="auto"/>
        <w:ind w:firstLine="720"/>
        <w:jc w:val="both"/>
        <w:rPr>
          <w:lang w:val="tr-TR"/>
        </w:rPr>
      </w:pPr>
      <w:r w:rsidRPr="00D415A4">
        <w:rPr>
          <w:b/>
          <w:lang w:val="tr-TR"/>
        </w:rPr>
        <w:t>2 yıl süreyle kısıt</w:t>
      </w:r>
      <w:r>
        <w:rPr>
          <w:lang w:val="tr-TR"/>
        </w:rPr>
        <w:t xml:space="preserve">: Tezle ilgili patent başvurusu ve patent alma sürecinin devam etmesi </w:t>
      </w:r>
      <w:r w:rsidR="00D415A4">
        <w:rPr>
          <w:lang w:val="tr-TR"/>
        </w:rPr>
        <w:t xml:space="preserve">sebebiyle 2 yıl süreyle kısıt </w:t>
      </w:r>
      <w:r w:rsidR="00EA573E">
        <w:rPr>
          <w:lang w:val="tr-TR"/>
        </w:rPr>
        <w:t>talebi</w:t>
      </w:r>
    </w:p>
    <w:p w14:paraId="0E42BE6E" w14:textId="77777777" w:rsidR="004D715C" w:rsidRPr="00D415A4" w:rsidRDefault="00D415A4" w:rsidP="004D715C">
      <w:pPr>
        <w:spacing w:line="360" w:lineRule="auto"/>
        <w:jc w:val="both"/>
        <w:rPr>
          <w:sz w:val="20"/>
          <w:szCs w:val="20"/>
          <w:lang w:val="tr-TR"/>
        </w:rPr>
      </w:pPr>
      <w:r w:rsidRPr="00D415A4">
        <w:rPr>
          <w:sz w:val="20"/>
          <w:szCs w:val="20"/>
          <w:lang w:val="tr-TR"/>
        </w:rPr>
        <w:t xml:space="preserve">(Lisansüstü Tezlerin Elektronik Ortamda Toplanması, Düzenlenmesi ve Erişime Açılmasına İlişkin Yönergenin 6. maddesi 6. Madde, (1) bendi kapsamında) </w:t>
      </w:r>
    </w:p>
    <w:p w14:paraId="3190458C" w14:textId="77777777" w:rsidR="004D715C" w:rsidRDefault="004D715C" w:rsidP="004D715C">
      <w:pPr>
        <w:spacing w:line="360" w:lineRule="auto"/>
        <w:jc w:val="both"/>
        <w:rPr>
          <w:lang w:val="tr-TR"/>
        </w:rPr>
      </w:pPr>
    </w:p>
    <w:p w14:paraId="06C8DF8F" w14:textId="77777777" w:rsidR="00D415A4" w:rsidRDefault="00D415A4" w:rsidP="00D415A4">
      <w:pPr>
        <w:spacing w:line="360" w:lineRule="auto"/>
        <w:jc w:val="both"/>
        <w:rPr>
          <w:lang w:val="tr-TR"/>
        </w:rPr>
      </w:pPr>
    </w:p>
    <w:p w14:paraId="6335204D" w14:textId="77777777" w:rsidR="00D415A4" w:rsidRDefault="00D415A4" w:rsidP="00D415A4">
      <w:pPr>
        <w:spacing w:line="360" w:lineRule="auto"/>
        <w:ind w:firstLine="720"/>
        <w:jc w:val="both"/>
        <w:rPr>
          <w:lang w:val="tr-TR"/>
        </w:rPr>
      </w:pPr>
      <w:r w:rsidRPr="00D415A4">
        <w:rPr>
          <w:b/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CEFDE" wp14:editId="467AF4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068" cy="235132"/>
                <wp:effectExtent l="0" t="0" r="698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" cy="235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9A9E98" id="Rectangle 2" o:spid="_x0000_s1026" style="position:absolute;margin-left:0;margin-top:-.05pt;width:17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" fillcolor="white [3201]" strokecolor="#70ad47 [3209]" strokeweight="1pt"/>
            </w:pict>
          </mc:Fallback>
        </mc:AlternateContent>
      </w:r>
      <w:r w:rsidRPr="00D415A4">
        <w:rPr>
          <w:b/>
          <w:noProof/>
          <w:lang w:val="tr-TR"/>
        </w:rPr>
        <w:t>6 ay</w:t>
      </w:r>
      <w:r w:rsidRPr="00D415A4">
        <w:rPr>
          <w:b/>
          <w:lang w:val="tr-TR"/>
        </w:rPr>
        <w:t xml:space="preserve"> süreyle kısıt:</w:t>
      </w:r>
      <w:r>
        <w:rPr>
          <w:lang w:val="tr-TR"/>
        </w:rPr>
        <w:t xml:space="preserve"> Tezle ilgili </w:t>
      </w:r>
      <w:r w:rsidR="00EA573E">
        <w:rPr>
          <w:lang w:val="tr-TR"/>
        </w:rPr>
        <w:t xml:space="preserve">yeni teknik, materyal ve metotların kullanıldığı, henüz makaleye dönüşmemiş/ patent gibi yöntemlerle korunmamış ve internetten paylaşılması durumunda 3. şahıslara veya kurumlara haksız kazanç </w:t>
      </w:r>
      <w:r w:rsidR="00B2191D">
        <w:rPr>
          <w:lang w:val="tr-TR"/>
        </w:rPr>
        <w:t>imkânı</w:t>
      </w:r>
      <w:r w:rsidR="00EA573E">
        <w:rPr>
          <w:lang w:val="tr-TR"/>
        </w:rPr>
        <w:t xml:space="preserve"> oluşturabilecek bilgi ve bulguları içermesi sebebiyle 6 ay süreyle </w:t>
      </w:r>
      <w:r>
        <w:rPr>
          <w:lang w:val="tr-TR"/>
        </w:rPr>
        <w:t xml:space="preserve">kısıt </w:t>
      </w:r>
      <w:r w:rsidR="00EA573E">
        <w:rPr>
          <w:lang w:val="tr-TR"/>
        </w:rPr>
        <w:t>talebi</w:t>
      </w:r>
    </w:p>
    <w:p w14:paraId="08252263" w14:textId="77777777" w:rsidR="00D415A4" w:rsidRDefault="00D415A4" w:rsidP="00D415A4">
      <w:pPr>
        <w:spacing w:line="360" w:lineRule="auto"/>
        <w:jc w:val="both"/>
        <w:rPr>
          <w:sz w:val="20"/>
          <w:szCs w:val="20"/>
          <w:lang w:val="tr-TR"/>
        </w:rPr>
      </w:pPr>
      <w:r w:rsidRPr="00D415A4">
        <w:rPr>
          <w:sz w:val="20"/>
          <w:szCs w:val="20"/>
          <w:lang w:val="tr-TR"/>
        </w:rPr>
        <w:t>(Lisansüstü Tezlerin Elektronik Ortamda Toplanması, Düzenlenmesi ve Erişime Açılmasına İlişkin Yönergenin 6. maddesi 6. Madde, (</w:t>
      </w:r>
      <w:r>
        <w:rPr>
          <w:sz w:val="20"/>
          <w:szCs w:val="20"/>
          <w:lang w:val="tr-TR"/>
        </w:rPr>
        <w:t>2</w:t>
      </w:r>
      <w:r w:rsidRPr="00D415A4">
        <w:rPr>
          <w:sz w:val="20"/>
          <w:szCs w:val="20"/>
          <w:lang w:val="tr-TR"/>
        </w:rPr>
        <w:t xml:space="preserve">) bendi kapsamında) </w:t>
      </w:r>
    </w:p>
    <w:p w14:paraId="13A4DF79" w14:textId="77777777" w:rsidR="00EA573E" w:rsidRDefault="00EA573E" w:rsidP="00D415A4">
      <w:pPr>
        <w:spacing w:line="360" w:lineRule="auto"/>
        <w:jc w:val="both"/>
        <w:rPr>
          <w:sz w:val="20"/>
          <w:szCs w:val="20"/>
          <w:lang w:val="tr-TR"/>
        </w:rPr>
      </w:pPr>
    </w:p>
    <w:p w14:paraId="371DDE94" w14:textId="77777777" w:rsidR="00B2191D" w:rsidRDefault="00B2191D" w:rsidP="00D415A4">
      <w:pPr>
        <w:spacing w:line="360" w:lineRule="auto"/>
        <w:jc w:val="both"/>
        <w:rPr>
          <w:sz w:val="20"/>
          <w:szCs w:val="20"/>
          <w:lang w:val="tr-TR"/>
        </w:rPr>
      </w:pPr>
    </w:p>
    <w:p w14:paraId="0FF0A165" w14:textId="77777777" w:rsidR="00B2191D" w:rsidRDefault="00B2191D" w:rsidP="00D415A4">
      <w:pPr>
        <w:spacing w:line="360" w:lineRule="auto"/>
        <w:jc w:val="both"/>
        <w:rPr>
          <w:sz w:val="20"/>
          <w:szCs w:val="20"/>
          <w:lang w:val="tr-TR"/>
        </w:rPr>
      </w:pPr>
    </w:p>
    <w:p w14:paraId="1D6C5A10" w14:textId="77777777" w:rsidR="00EA573E" w:rsidRPr="00B2191D" w:rsidRDefault="00EA573E" w:rsidP="00D415A4">
      <w:pPr>
        <w:spacing w:line="360" w:lineRule="auto"/>
        <w:jc w:val="both"/>
        <w:rPr>
          <w:b/>
          <w:sz w:val="20"/>
          <w:szCs w:val="20"/>
          <w:lang w:val="tr-TR"/>
        </w:rPr>
      </w:pPr>
      <w:r w:rsidRPr="00B2191D">
        <w:rPr>
          <w:b/>
          <w:sz w:val="20"/>
          <w:szCs w:val="20"/>
          <w:lang w:val="tr-TR"/>
        </w:rPr>
        <w:t>GİZLİLİK DERECELİ TEZLER</w:t>
      </w:r>
    </w:p>
    <w:p w14:paraId="60C7DE65" w14:textId="77777777" w:rsidR="00EA573E" w:rsidRDefault="00B2191D" w:rsidP="00D415A4">
      <w:pPr>
        <w:spacing w:line="360" w:lineRule="auto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MADDE 7- (1) </w:t>
      </w:r>
      <w:r w:rsidR="00EA573E">
        <w:rPr>
          <w:sz w:val="20"/>
          <w:szCs w:val="20"/>
          <w:lang w:val="tr-TR"/>
        </w:rPr>
        <w:t>Ulusal çıkarları veya güvenliği ilgilendiren, emniye</w:t>
      </w:r>
      <w:r>
        <w:rPr>
          <w:sz w:val="20"/>
          <w:szCs w:val="20"/>
          <w:lang w:val="tr-TR"/>
        </w:rPr>
        <w:t>t</w:t>
      </w:r>
      <w:r w:rsidR="00EA573E">
        <w:rPr>
          <w:sz w:val="20"/>
          <w:szCs w:val="20"/>
          <w:lang w:val="tr-TR"/>
        </w:rPr>
        <w:t>, istihbarat, s</w:t>
      </w:r>
      <w:r>
        <w:rPr>
          <w:sz w:val="20"/>
          <w:szCs w:val="20"/>
          <w:lang w:val="tr-TR"/>
        </w:rPr>
        <w:t>a</w:t>
      </w:r>
      <w:r w:rsidR="00EA573E">
        <w:rPr>
          <w:sz w:val="20"/>
          <w:szCs w:val="20"/>
          <w:lang w:val="tr-TR"/>
        </w:rPr>
        <w:t xml:space="preserve">vunma ve güvenlik, sağlık </w:t>
      </w:r>
      <w:r>
        <w:rPr>
          <w:sz w:val="20"/>
          <w:szCs w:val="20"/>
          <w:lang w:val="tr-TR"/>
        </w:rPr>
        <w:t>vb.</w:t>
      </w:r>
      <w:r w:rsidR="00EA573E">
        <w:rPr>
          <w:sz w:val="20"/>
          <w:szCs w:val="20"/>
          <w:lang w:val="tr-TR"/>
        </w:rPr>
        <w:t xml:space="preserve"> konulara ilişkin lisansüstü tezlerle ilgili g</w:t>
      </w:r>
      <w:r>
        <w:rPr>
          <w:sz w:val="20"/>
          <w:szCs w:val="20"/>
          <w:lang w:val="tr-TR"/>
        </w:rPr>
        <w:t>i</w:t>
      </w:r>
      <w:r w:rsidR="00EA573E">
        <w:rPr>
          <w:sz w:val="20"/>
          <w:szCs w:val="20"/>
          <w:lang w:val="tr-TR"/>
        </w:rPr>
        <w:t xml:space="preserve">zlilik kararı, tezin yapıldığı kurum tarafından verilir. Kurum ve kuruluşlarla yapılan </w:t>
      </w:r>
      <w:r>
        <w:rPr>
          <w:sz w:val="20"/>
          <w:szCs w:val="20"/>
          <w:lang w:val="tr-TR"/>
        </w:rPr>
        <w:t>iş birliği</w:t>
      </w:r>
      <w:r w:rsidR="00EA573E">
        <w:rPr>
          <w:sz w:val="20"/>
          <w:szCs w:val="20"/>
          <w:lang w:val="tr-TR"/>
        </w:rPr>
        <w:t xml:space="preserve"> protokolü çerçevesinde hazırlanan lisansüstü tezlere ilişkin gizlilik kararı ise, ilgi</w:t>
      </w:r>
      <w:r>
        <w:rPr>
          <w:sz w:val="20"/>
          <w:szCs w:val="20"/>
          <w:lang w:val="tr-TR"/>
        </w:rPr>
        <w:t>l</w:t>
      </w:r>
      <w:r w:rsidR="00EA573E">
        <w:rPr>
          <w:sz w:val="20"/>
          <w:szCs w:val="20"/>
          <w:lang w:val="tr-TR"/>
        </w:rPr>
        <w:t>i kurum ve kuruluşun önerisi</w:t>
      </w:r>
      <w:r>
        <w:rPr>
          <w:sz w:val="20"/>
          <w:szCs w:val="20"/>
          <w:lang w:val="tr-TR"/>
        </w:rPr>
        <w:t xml:space="preserve"> i</w:t>
      </w:r>
      <w:r w:rsidR="00EA573E">
        <w:rPr>
          <w:sz w:val="20"/>
          <w:szCs w:val="20"/>
          <w:lang w:val="tr-TR"/>
        </w:rPr>
        <w:t xml:space="preserve">le Enstitü veya fakültenin uygun görüşü özerine üniversite yönetim Kurulu tarafından verilir. Gizlilik kararı verilen tezler Yükseköğretim Kuruluna bildirilir. </w:t>
      </w:r>
    </w:p>
    <w:p w14:paraId="6EABA693" w14:textId="77777777" w:rsidR="00EA573E" w:rsidRPr="00D415A4" w:rsidRDefault="00B2191D" w:rsidP="00D415A4">
      <w:pPr>
        <w:spacing w:line="360" w:lineRule="auto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(2) </w:t>
      </w:r>
      <w:r w:rsidR="00EA573E">
        <w:rPr>
          <w:sz w:val="20"/>
          <w:szCs w:val="20"/>
          <w:lang w:val="tr-TR"/>
        </w:rPr>
        <w:t>Gizlilik kararı verilen tezler</w:t>
      </w:r>
      <w:r>
        <w:rPr>
          <w:sz w:val="20"/>
          <w:szCs w:val="20"/>
          <w:lang w:val="tr-TR"/>
        </w:rPr>
        <w:t xml:space="preserve"> </w:t>
      </w:r>
      <w:r w:rsidR="00EA573E">
        <w:rPr>
          <w:sz w:val="20"/>
          <w:szCs w:val="20"/>
          <w:lang w:val="tr-TR"/>
        </w:rPr>
        <w:t>gizlilik kararı süresin</w:t>
      </w:r>
      <w:r>
        <w:rPr>
          <w:sz w:val="20"/>
          <w:szCs w:val="20"/>
          <w:lang w:val="tr-TR"/>
        </w:rPr>
        <w:t>c</w:t>
      </w:r>
      <w:r w:rsidR="00EA573E">
        <w:rPr>
          <w:sz w:val="20"/>
          <w:szCs w:val="20"/>
          <w:lang w:val="tr-TR"/>
        </w:rPr>
        <w:t xml:space="preserve">e enstitü veya fakülte tarafından </w:t>
      </w:r>
      <w:r>
        <w:rPr>
          <w:sz w:val="20"/>
          <w:szCs w:val="20"/>
          <w:lang w:val="tr-TR"/>
        </w:rPr>
        <w:t xml:space="preserve">muhafaza edilir, gizlilik kararının kaldırılması halinde Tez Otomasyon Sistemine yüklenir. </w:t>
      </w:r>
    </w:p>
    <w:p w14:paraId="4A224618" w14:textId="77777777" w:rsidR="00D415A4" w:rsidRDefault="00D415A4" w:rsidP="00D415A4">
      <w:pPr>
        <w:spacing w:line="360" w:lineRule="auto"/>
        <w:jc w:val="both"/>
        <w:rPr>
          <w:lang w:val="tr-TR"/>
        </w:rPr>
      </w:pPr>
    </w:p>
    <w:p w14:paraId="1FE7E7C1" w14:textId="77777777" w:rsidR="005B388A" w:rsidRDefault="005B388A">
      <w:pPr>
        <w:rPr>
          <w:lang w:val="tr-TR"/>
        </w:rPr>
      </w:pPr>
    </w:p>
    <w:p w14:paraId="1EB29335" w14:textId="77777777" w:rsidR="005B388A" w:rsidRPr="005B388A" w:rsidRDefault="005B388A">
      <w:pPr>
        <w:rPr>
          <w:lang w:val="tr-TR"/>
        </w:rPr>
      </w:pPr>
    </w:p>
    <w:sectPr w:rsidR="005B388A" w:rsidRPr="005B388A" w:rsidSect="00FC15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A"/>
    <w:rsid w:val="00077D3A"/>
    <w:rsid w:val="0008633B"/>
    <w:rsid w:val="00165F36"/>
    <w:rsid w:val="003B7598"/>
    <w:rsid w:val="004A1CC2"/>
    <w:rsid w:val="004D715C"/>
    <w:rsid w:val="00562D07"/>
    <w:rsid w:val="005B388A"/>
    <w:rsid w:val="00760276"/>
    <w:rsid w:val="00B2191D"/>
    <w:rsid w:val="00D415A4"/>
    <w:rsid w:val="00EA573E"/>
    <w:rsid w:val="00FC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A292C1"/>
  <w14:defaultImageDpi w14:val="32767"/>
  <w15:chartTrackingRefBased/>
  <w15:docId w15:val="{DD1D4B47-3059-2249-ACF1-E2802F8E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2021-10-11T07:53:00Z</dcterms:created>
  <dcterms:modified xsi:type="dcterms:W3CDTF">2021-10-11T08:04:00Z</dcterms:modified>
</cp:coreProperties>
</file>