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FEB5" w14:textId="77777777" w:rsidR="0031354B" w:rsidRPr="0031354B" w:rsidRDefault="0031354B" w:rsidP="0031354B">
      <w:pPr>
        <w:jc w:val="center"/>
        <w:rPr>
          <w:rFonts w:asciiTheme="minorBidi" w:hAnsiTheme="minorBidi"/>
          <w:b/>
          <w:bCs/>
          <w:sz w:val="30"/>
          <w:szCs w:val="30"/>
        </w:rPr>
      </w:pPr>
      <w:r w:rsidRPr="0031354B">
        <w:rPr>
          <w:rFonts w:asciiTheme="minorBidi" w:hAnsiTheme="minorBidi"/>
          <w:b/>
          <w:bCs/>
          <w:sz w:val="30"/>
          <w:szCs w:val="30"/>
          <w:lang w:val="en-US"/>
        </w:rPr>
        <w:t>Fikri ve Endüstriyel Mülkiyet Hakları</w:t>
      </w:r>
    </w:p>
    <w:p w14:paraId="59E7F577" w14:textId="0FD81825" w:rsidR="001F22A6" w:rsidRPr="001F22A6" w:rsidRDefault="001F22A6" w:rsidP="001F22A6">
      <w:pPr>
        <w:jc w:val="center"/>
        <w:rPr>
          <w:rFonts w:asciiTheme="minorBidi" w:hAnsiTheme="minorBidi"/>
          <w:b/>
          <w:bCs/>
          <w:sz w:val="30"/>
          <w:szCs w:val="30"/>
        </w:rPr>
      </w:pPr>
      <w:r w:rsidRPr="001F22A6">
        <w:rPr>
          <w:rFonts w:asciiTheme="minorBidi" w:hAnsiTheme="minorBidi"/>
          <w:b/>
          <w:bCs/>
          <w:sz w:val="30"/>
          <w:szCs w:val="30"/>
        </w:rPr>
        <w:t>Öğrenme Çıktıları</w:t>
      </w:r>
    </w:p>
    <w:p w14:paraId="32C0B5B1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telif hakkı, patent, faydalı model, tasarım ve marka kavramlarını tanımlar ve bu fikri hak türlerini birbirinden ayırt eder.</w:t>
      </w:r>
    </w:p>
    <w:p w14:paraId="26070A83" w14:textId="1EC9889D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 xml:space="preserve">Öğrenci, </w:t>
      </w:r>
      <w:r>
        <w:rPr>
          <w:rFonts w:asciiTheme="minorBidi" w:hAnsiTheme="minorBidi"/>
        </w:rPr>
        <w:t xml:space="preserve">tescilli - </w:t>
      </w:r>
      <w:r w:rsidRPr="001F22A6">
        <w:rPr>
          <w:rFonts w:asciiTheme="minorBidi" w:hAnsiTheme="minorBidi"/>
        </w:rPr>
        <w:t>tescilsiz telif hakları ve Creative Commons lisanslarını tanımlar, bu lisansları uygun örneklerle ilişkilendirir.</w:t>
      </w:r>
    </w:p>
    <w:p w14:paraId="772B1ACE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yapay zeka modelleri, eğitim verisi ve çıktılarına ilişkin fikri mülkiyet unsurlarını analiz eder.</w:t>
      </w:r>
    </w:p>
    <w:p w14:paraId="4BB03B29" w14:textId="4539A60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patent başvurularında aranan yenilik, buluş basamağı</w:t>
      </w:r>
      <w:r>
        <w:rPr>
          <w:rFonts w:asciiTheme="minorBidi" w:hAnsiTheme="minorBidi"/>
        </w:rPr>
        <w:t>,</w:t>
      </w:r>
      <w:r w:rsidRPr="001F22A6">
        <w:rPr>
          <w:rFonts w:asciiTheme="minorBidi" w:hAnsiTheme="minorBidi"/>
        </w:rPr>
        <w:t xml:space="preserve"> sanayiye uygulanabilirlik ve tekniklik kriterlerini açıklar.</w:t>
      </w:r>
    </w:p>
    <w:p w14:paraId="4F40A786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patentin “negatif hak” niteliğini açıklar ve bir buluşun önceki patentlere bağımlılığını analiz eder.</w:t>
      </w:r>
    </w:p>
    <w:p w14:paraId="7E678F7A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patent başvurusu yapılmasını ve yapılmamasını gerektiren durumları karşılaştırarak değerlendirir.</w:t>
      </w:r>
    </w:p>
    <w:p w14:paraId="65F82651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standarta esas patentlerin (SEP) rolünü ve sektörel etkilerini açıklar.</w:t>
      </w:r>
    </w:p>
    <w:p w14:paraId="7BE2D9F3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patent korumasına alternatif yolları sıralar ve bağlamına göre uygun çözüm önerileri geliştirir.</w:t>
      </w:r>
    </w:p>
    <w:p w14:paraId="48D02807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Paris ve PCT başvuru yollarını karşılaştırır; teknoloji olgunluk seviyesine göre uygun stratejiyi önerir.</w:t>
      </w:r>
    </w:p>
    <w:p w14:paraId="749C6BFB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fikri mülkiyet haklarının ekonomik ve stratejik önemini açıklar; patentlerin finansal ve vergisel avantajlarını yorumlar.</w:t>
      </w:r>
    </w:p>
    <w:p w14:paraId="2FE77B6A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patent başvurusu sonrası karşılaşılabilecek işlemleri ve süreci özetler.</w:t>
      </w:r>
    </w:p>
    <w:p w14:paraId="5E765577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bir patent yayınının yapısal bileşenlerini tanır ve temel içeriklerini açıklar.</w:t>
      </w:r>
    </w:p>
    <w:p w14:paraId="7CB9ACC3" w14:textId="58F3CAEF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fikri haklar içeren sözleşme türlerini ayırt eder</w:t>
      </w:r>
      <w:r>
        <w:rPr>
          <w:rFonts w:asciiTheme="minorBidi" w:hAnsiTheme="minorBidi"/>
        </w:rPr>
        <w:t xml:space="preserve">, bir </w:t>
      </w:r>
      <w:r w:rsidRPr="001F22A6">
        <w:rPr>
          <w:rFonts w:asciiTheme="minorBidi" w:hAnsiTheme="minorBidi"/>
        </w:rPr>
        <w:t>kontrol listesi oluştur</w:t>
      </w:r>
      <w:r>
        <w:rPr>
          <w:rFonts w:asciiTheme="minorBidi" w:hAnsiTheme="minorBidi"/>
        </w:rPr>
        <w:t>abilir.</w:t>
      </w:r>
    </w:p>
    <w:p w14:paraId="7A25C2AD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patent vekili seçerken dikkat edilmesi gereken ölçütleri açıklar.</w:t>
      </w:r>
    </w:p>
    <w:p w14:paraId="15AA6135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patent ve faydalı model destekleri ile ilgili kamu teşvik programlarını tanımlar.</w:t>
      </w:r>
    </w:p>
    <w:p w14:paraId="445FF98F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faydalı model sistemini açıklar ve patent sisteminden farklarını belirtir.</w:t>
      </w:r>
    </w:p>
    <w:p w14:paraId="30F5AB7B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patent araştırmasında kullanılan temel arama tekniklerini (Boolean, wildcard, eşanlamlılar vb.) uygular.</w:t>
      </w:r>
    </w:p>
    <w:p w14:paraId="5BC060ED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tescilsiz tasarım korumasını açıklar; tescilli tasarımların temel özelliklerini sıralar.</w:t>
      </w:r>
    </w:p>
    <w:p w14:paraId="7E535CBB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patent ve tasarım ile korunabilecek unsurları karşılaştırır ve tasarım sınıflandırmaları hakkında değerlendirme yapar.</w:t>
      </w:r>
    </w:p>
    <w:p w14:paraId="5F195CB4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marka ve marka sınıflarının temel yapılarını açıklar.</w:t>
      </w:r>
    </w:p>
    <w:p w14:paraId="6B065F72" w14:textId="77777777" w:rsidR="001F22A6" w:rsidRPr="001F22A6" w:rsidRDefault="001F22A6" w:rsidP="001F22A6">
      <w:pPr>
        <w:numPr>
          <w:ilvl w:val="0"/>
          <w:numId w:val="2"/>
        </w:numPr>
        <w:rPr>
          <w:rFonts w:asciiTheme="minorBidi" w:hAnsiTheme="minorBidi"/>
        </w:rPr>
      </w:pPr>
      <w:r w:rsidRPr="001F22A6">
        <w:rPr>
          <w:rFonts w:asciiTheme="minorBidi" w:hAnsiTheme="minorBidi"/>
        </w:rPr>
        <w:t>Öğrenci, marka sınıflarını ayırt eder ve uygun ürün/hizmet örnekleriyle ilişkilendirir.</w:t>
      </w:r>
    </w:p>
    <w:p w14:paraId="71203A8A" w14:textId="77777777" w:rsidR="0025555B" w:rsidRPr="001F22A6" w:rsidRDefault="0025555B" w:rsidP="001F22A6">
      <w:pPr>
        <w:rPr>
          <w:rFonts w:asciiTheme="minorBidi" w:hAnsiTheme="minorBidi"/>
        </w:rPr>
      </w:pPr>
    </w:p>
    <w:sectPr w:rsidR="0025555B" w:rsidRPr="001F22A6" w:rsidSect="007B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58E6"/>
    <w:multiLevelType w:val="multilevel"/>
    <w:tmpl w:val="7C2A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601395"/>
    <w:multiLevelType w:val="multilevel"/>
    <w:tmpl w:val="CDA4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610607">
    <w:abstractNumId w:val="1"/>
  </w:num>
  <w:num w:numId="2" w16cid:durableId="112828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B9"/>
    <w:rsid w:val="001F22A6"/>
    <w:rsid w:val="0025555B"/>
    <w:rsid w:val="0031354B"/>
    <w:rsid w:val="00611EFB"/>
    <w:rsid w:val="007157B9"/>
    <w:rsid w:val="007B7DE1"/>
    <w:rsid w:val="0090081D"/>
    <w:rsid w:val="00DB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0666"/>
  <w15:chartTrackingRefBased/>
  <w15:docId w15:val="{D9654DA7-EB38-4817-8009-4ABA723F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715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5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5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5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5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5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5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5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57B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57B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57B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57B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57B9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57B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57B9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57B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57B9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5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57B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5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57B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57B9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5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5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57B9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5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Buğra  Başer</dc:creator>
  <cp:keywords/>
  <dc:description/>
  <cp:lastModifiedBy>Ahmet Buğra  Başer</cp:lastModifiedBy>
  <cp:revision>2</cp:revision>
  <dcterms:created xsi:type="dcterms:W3CDTF">2025-04-30T08:09:00Z</dcterms:created>
  <dcterms:modified xsi:type="dcterms:W3CDTF">2025-04-30T08:09:00Z</dcterms:modified>
</cp:coreProperties>
</file>