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971C6" w14:textId="77777777" w:rsidR="007D0B1A" w:rsidRDefault="008B4D9D" w:rsidP="007D0B1A">
      <w:pPr>
        <w:jc w:val="center"/>
        <w:rPr>
          <w:rFonts w:ascii="Cambria" w:hAnsi="Cambria"/>
          <w:b/>
          <w:sz w:val="22"/>
          <w:szCs w:val="22"/>
        </w:rPr>
      </w:pPr>
      <w:r w:rsidRPr="008B4D9D">
        <w:rPr>
          <w:rFonts w:ascii="Cambria" w:hAnsi="Cambria"/>
          <w:b/>
          <w:sz w:val="22"/>
          <w:szCs w:val="22"/>
          <w:highlight w:val="yellow"/>
        </w:rPr>
        <w:t xml:space="preserve">D R A F </w:t>
      </w:r>
      <w:proofErr w:type="gramStart"/>
      <w:r w:rsidRPr="008B4D9D">
        <w:rPr>
          <w:rFonts w:ascii="Cambria" w:hAnsi="Cambria"/>
          <w:b/>
          <w:sz w:val="22"/>
          <w:szCs w:val="22"/>
          <w:highlight w:val="yellow"/>
        </w:rPr>
        <w:t>T</w:t>
      </w:r>
      <w:r>
        <w:rPr>
          <w:rFonts w:ascii="Cambria" w:hAnsi="Cambria"/>
          <w:b/>
          <w:sz w:val="22"/>
          <w:szCs w:val="22"/>
        </w:rPr>
        <w:t xml:space="preserve">  </w:t>
      </w:r>
      <w:r w:rsidR="007D0B1A">
        <w:rPr>
          <w:rFonts w:ascii="Cambria" w:hAnsi="Cambria"/>
          <w:b/>
          <w:sz w:val="22"/>
          <w:szCs w:val="22"/>
        </w:rPr>
        <w:t>SYLLABUS</w:t>
      </w:r>
      <w:proofErr w:type="gramEnd"/>
      <w:r w:rsidR="007D0B1A">
        <w:rPr>
          <w:rFonts w:ascii="Cambria" w:hAnsi="Cambria"/>
          <w:b/>
          <w:sz w:val="22"/>
          <w:szCs w:val="22"/>
        </w:rPr>
        <w:t xml:space="preserve"> </w:t>
      </w:r>
      <w:r>
        <w:rPr>
          <w:rFonts w:ascii="Cambria" w:hAnsi="Cambria"/>
          <w:b/>
          <w:sz w:val="22"/>
          <w:szCs w:val="22"/>
        </w:rPr>
        <w:t xml:space="preserve"> (fall 2020)</w:t>
      </w:r>
    </w:p>
    <w:p w14:paraId="0F9E8031" w14:textId="77777777" w:rsidR="007D0B1A" w:rsidRPr="004C769D" w:rsidRDefault="007D0B1A" w:rsidP="007D0B1A">
      <w:pPr>
        <w:jc w:val="center"/>
        <w:rPr>
          <w:rFonts w:ascii="Cambria" w:hAnsi="Cambria"/>
          <w:b/>
          <w:sz w:val="22"/>
          <w:szCs w:val="22"/>
        </w:rPr>
      </w:pPr>
      <w:r w:rsidRPr="004C769D">
        <w:rPr>
          <w:rFonts w:ascii="Cambria" w:hAnsi="Cambria"/>
          <w:b/>
          <w:sz w:val="22"/>
          <w:szCs w:val="22"/>
        </w:rPr>
        <w:t xml:space="preserve">Pols 456: </w:t>
      </w:r>
      <w:r w:rsidRPr="004C769D">
        <w:rPr>
          <w:rFonts w:ascii="Cambria" w:hAnsi="Cambria"/>
          <w:b/>
          <w:i/>
          <w:sz w:val="22"/>
          <w:szCs w:val="22"/>
        </w:rPr>
        <w:t>Topics in European Integration</w:t>
      </w:r>
    </w:p>
    <w:p w14:paraId="4EA8814F" w14:textId="77777777" w:rsidR="007D0B1A" w:rsidRPr="00545888" w:rsidRDefault="008B4D9D" w:rsidP="007D0B1A">
      <w:pPr>
        <w:jc w:val="center"/>
        <w:rPr>
          <w:rFonts w:ascii="Cambria" w:hAnsi="Cambria"/>
          <w:b/>
          <w:sz w:val="22"/>
          <w:szCs w:val="22"/>
        </w:rPr>
      </w:pPr>
      <w:r>
        <w:rPr>
          <w:rFonts w:ascii="Cambria" w:hAnsi="Cambria"/>
          <w:b/>
          <w:sz w:val="22"/>
          <w:szCs w:val="22"/>
        </w:rPr>
        <w:t>Monday 15.00-16.00</w:t>
      </w:r>
      <w:r w:rsidR="007D0B1A" w:rsidRPr="00545888">
        <w:rPr>
          <w:rFonts w:ascii="Cambria" w:hAnsi="Cambria"/>
          <w:b/>
          <w:sz w:val="22"/>
          <w:szCs w:val="22"/>
        </w:rPr>
        <w:t xml:space="preserve"> / </w:t>
      </w:r>
      <w:r>
        <w:rPr>
          <w:rFonts w:ascii="Cambria" w:hAnsi="Cambria"/>
          <w:b/>
          <w:sz w:val="22"/>
          <w:szCs w:val="22"/>
        </w:rPr>
        <w:t>Wednesday 14.00-16.00</w:t>
      </w:r>
    </w:p>
    <w:p w14:paraId="3175A5AB" w14:textId="77777777" w:rsidR="007D0B1A" w:rsidRPr="004C769D" w:rsidRDefault="007D0B1A" w:rsidP="007D0B1A">
      <w:pPr>
        <w:rPr>
          <w:rFonts w:ascii="Cambria" w:hAnsi="Cambria"/>
          <w:sz w:val="22"/>
          <w:szCs w:val="22"/>
        </w:rPr>
      </w:pPr>
    </w:p>
    <w:p w14:paraId="14DA09F3" w14:textId="77777777" w:rsidR="00175610" w:rsidRDefault="00175610" w:rsidP="00175610">
      <w:pPr>
        <w:rPr>
          <w:sz w:val="22"/>
          <w:szCs w:val="22"/>
        </w:rPr>
      </w:pPr>
      <w:r w:rsidRPr="00B71727">
        <w:rPr>
          <w:sz w:val="22"/>
          <w:szCs w:val="22"/>
        </w:rPr>
        <w:t xml:space="preserve">Instructor: </w:t>
      </w:r>
      <w:r>
        <w:rPr>
          <w:sz w:val="22"/>
          <w:szCs w:val="22"/>
        </w:rPr>
        <w:tab/>
      </w:r>
      <w:r>
        <w:rPr>
          <w:sz w:val="22"/>
          <w:szCs w:val="22"/>
        </w:rPr>
        <w:tab/>
        <w:t xml:space="preserve">Assoc. Prof. Dr. </w:t>
      </w:r>
      <w:r w:rsidRPr="00B71727">
        <w:rPr>
          <w:sz w:val="22"/>
          <w:szCs w:val="22"/>
        </w:rPr>
        <w:t xml:space="preserve">Dilek </w:t>
      </w:r>
      <w:proofErr w:type="spellStart"/>
      <w:r w:rsidRPr="00B71727">
        <w:rPr>
          <w:sz w:val="22"/>
          <w:szCs w:val="22"/>
        </w:rPr>
        <w:t>Çınar</w:t>
      </w:r>
      <w:proofErr w:type="spellEnd"/>
      <w:r>
        <w:rPr>
          <w:sz w:val="22"/>
          <w:szCs w:val="22"/>
        </w:rPr>
        <w:tab/>
      </w:r>
      <w:r w:rsidRPr="00B71727">
        <w:rPr>
          <w:sz w:val="22"/>
          <w:szCs w:val="22"/>
        </w:rPr>
        <w:t xml:space="preserve"> </w:t>
      </w:r>
      <w:r w:rsidRPr="00B71727">
        <w:rPr>
          <w:sz w:val="22"/>
          <w:szCs w:val="22"/>
        </w:rPr>
        <w:fldChar w:fldCharType="begin"/>
      </w:r>
      <w:r w:rsidRPr="00B71727">
        <w:rPr>
          <w:sz w:val="22"/>
          <w:szCs w:val="22"/>
        </w:rPr>
        <w:instrText xml:space="preserve"> HYPERLINK "mailto:dilek.cinar@boun.edu.tr" </w:instrText>
      </w:r>
      <w:r w:rsidRPr="00B71727">
        <w:rPr>
          <w:sz w:val="22"/>
          <w:szCs w:val="22"/>
        </w:rPr>
      </w:r>
      <w:r w:rsidRPr="00B71727">
        <w:rPr>
          <w:sz w:val="22"/>
          <w:szCs w:val="22"/>
        </w:rPr>
        <w:fldChar w:fldCharType="separate"/>
      </w:r>
      <w:r w:rsidRPr="00B71727">
        <w:rPr>
          <w:rStyle w:val="Hyperlink"/>
          <w:sz w:val="22"/>
          <w:szCs w:val="22"/>
        </w:rPr>
        <w:t>dilek.cinar@boun.edu.tr</w:t>
      </w:r>
      <w:r w:rsidRPr="00B71727">
        <w:rPr>
          <w:sz w:val="22"/>
          <w:szCs w:val="22"/>
        </w:rPr>
        <w:fldChar w:fldCharType="end"/>
      </w:r>
    </w:p>
    <w:p w14:paraId="0BBC7CE8" w14:textId="77777777" w:rsidR="00175610" w:rsidRPr="00B71727" w:rsidRDefault="00175610" w:rsidP="00175610">
      <w:pPr>
        <w:rPr>
          <w:sz w:val="22"/>
          <w:szCs w:val="22"/>
        </w:rPr>
      </w:pPr>
      <w:r>
        <w:rPr>
          <w:sz w:val="22"/>
          <w:szCs w:val="22"/>
        </w:rPr>
        <w:t>Teaching assistant:</w:t>
      </w:r>
      <w:r>
        <w:rPr>
          <w:sz w:val="22"/>
          <w:szCs w:val="22"/>
        </w:rPr>
        <w:tab/>
      </w:r>
      <w:proofErr w:type="spellStart"/>
      <w:r>
        <w:rPr>
          <w:sz w:val="22"/>
          <w:szCs w:val="22"/>
        </w:rPr>
        <w:t>Aybala</w:t>
      </w:r>
      <w:proofErr w:type="spellEnd"/>
      <w:r>
        <w:rPr>
          <w:sz w:val="22"/>
          <w:szCs w:val="22"/>
        </w:rPr>
        <w:t xml:space="preserve"> </w:t>
      </w:r>
      <w:proofErr w:type="spellStart"/>
      <w:r>
        <w:rPr>
          <w:sz w:val="22"/>
          <w:szCs w:val="22"/>
        </w:rPr>
        <w:t>Bulut</w:t>
      </w:r>
      <w:proofErr w:type="spellEnd"/>
      <w:r>
        <w:rPr>
          <w:sz w:val="22"/>
          <w:szCs w:val="22"/>
        </w:rPr>
        <w:tab/>
      </w:r>
      <w:r>
        <w:rPr>
          <w:sz w:val="22"/>
          <w:szCs w:val="22"/>
        </w:rPr>
        <w:tab/>
      </w:r>
      <w:r>
        <w:rPr>
          <w:sz w:val="22"/>
          <w:szCs w:val="22"/>
        </w:rPr>
        <w:tab/>
        <w:t xml:space="preserve"> </w:t>
      </w:r>
      <w:r w:rsidRPr="00846EF0">
        <w:rPr>
          <w:sz w:val="22"/>
          <w:szCs w:val="22"/>
        </w:rPr>
        <w:t>aybala.bulut@boun.edu.tr</w:t>
      </w:r>
      <w:r>
        <w:rPr>
          <w:sz w:val="22"/>
          <w:szCs w:val="22"/>
        </w:rPr>
        <w:tab/>
      </w:r>
      <w:r>
        <w:rPr>
          <w:sz w:val="22"/>
          <w:szCs w:val="22"/>
        </w:rPr>
        <w:tab/>
      </w:r>
      <w:r>
        <w:rPr>
          <w:sz w:val="22"/>
          <w:szCs w:val="22"/>
        </w:rPr>
        <w:tab/>
      </w:r>
    </w:p>
    <w:p w14:paraId="59108AA6" w14:textId="77777777" w:rsidR="00175610" w:rsidRDefault="00175610" w:rsidP="00175610">
      <w:pPr>
        <w:rPr>
          <w:sz w:val="22"/>
          <w:szCs w:val="22"/>
        </w:rPr>
      </w:pPr>
      <w:r>
        <w:rPr>
          <w:sz w:val="22"/>
          <w:szCs w:val="22"/>
        </w:rPr>
        <w:t>Office hours:</w:t>
      </w:r>
      <w:r>
        <w:rPr>
          <w:sz w:val="22"/>
          <w:szCs w:val="22"/>
        </w:rPr>
        <w:tab/>
      </w:r>
      <w:r>
        <w:rPr>
          <w:sz w:val="22"/>
          <w:szCs w:val="22"/>
        </w:rPr>
        <w:tab/>
      </w:r>
      <w:r w:rsidRPr="003D1208">
        <w:rPr>
          <w:sz w:val="22"/>
          <w:szCs w:val="22"/>
        </w:rPr>
        <w:t>by appointment</w:t>
      </w:r>
      <w:r>
        <w:rPr>
          <w:sz w:val="22"/>
          <w:szCs w:val="22"/>
        </w:rPr>
        <w:t xml:space="preserve"> (via zoom)</w:t>
      </w:r>
      <w:r>
        <w:rPr>
          <w:sz w:val="22"/>
          <w:szCs w:val="22"/>
        </w:rPr>
        <w:tab/>
      </w:r>
    </w:p>
    <w:p w14:paraId="6AC7B095" w14:textId="77777777" w:rsidR="007D0B1A" w:rsidRPr="004C769D" w:rsidRDefault="00175610" w:rsidP="007D0B1A">
      <w:pPr>
        <w:rPr>
          <w:rFonts w:ascii="Cambria" w:hAnsi="Cambria"/>
          <w:sz w:val="22"/>
          <w:szCs w:val="22"/>
        </w:rPr>
      </w:pPr>
      <w:r>
        <w:rPr>
          <w:rFonts w:ascii="Cambria" w:hAnsi="Cambria"/>
          <w:sz w:val="22"/>
          <w:szCs w:val="22"/>
        </w:rPr>
        <w:pict w14:anchorId="0FD8BE28">
          <v:rect id="_x0000_i1025" style="width:0;height:1.5pt" o:hralign="center" o:hrstd="t" o:hr="t" fillcolor="gray" stroked="f"/>
        </w:pict>
      </w:r>
    </w:p>
    <w:p w14:paraId="09CE4755" w14:textId="77777777" w:rsidR="007D0B1A" w:rsidRPr="004C769D" w:rsidRDefault="007D0B1A" w:rsidP="007D0B1A">
      <w:pPr>
        <w:jc w:val="both"/>
        <w:rPr>
          <w:rFonts w:ascii="Cambria" w:hAnsi="Cambria"/>
          <w:bCs/>
          <w:sz w:val="22"/>
          <w:szCs w:val="22"/>
        </w:rPr>
      </w:pPr>
      <w:r w:rsidRPr="004C769D">
        <w:rPr>
          <w:rFonts w:ascii="Cambria" w:hAnsi="Cambria"/>
          <w:b/>
          <w:bCs/>
          <w:sz w:val="22"/>
          <w:szCs w:val="22"/>
        </w:rPr>
        <w:t xml:space="preserve">Course Description: </w:t>
      </w:r>
      <w:r w:rsidRPr="004C769D">
        <w:rPr>
          <w:rFonts w:ascii="Cambria" w:hAnsi="Cambria"/>
          <w:bCs/>
          <w:sz w:val="22"/>
          <w:szCs w:val="22"/>
        </w:rPr>
        <w:t>The proper “management” of (regular and irregular) migration movements has been on the agenda of the EU since the entry into force of the Single European Act in 1987 with the aim of abolishing internal barriers to freedom of movement.</w:t>
      </w:r>
      <w:r w:rsidRPr="004C769D">
        <w:rPr>
          <w:rFonts w:ascii="Cambria" w:hAnsi="Cambria"/>
          <w:b/>
          <w:bCs/>
          <w:sz w:val="22"/>
          <w:szCs w:val="22"/>
        </w:rPr>
        <w:t xml:space="preserve"> </w:t>
      </w:r>
      <w:r w:rsidRPr="004C769D">
        <w:rPr>
          <w:rFonts w:ascii="Cambria" w:hAnsi="Cambria"/>
          <w:bCs/>
          <w:sz w:val="22"/>
          <w:szCs w:val="22"/>
        </w:rPr>
        <w:t>The issue gained much more significance with the collapse of the Berlin Wall which was accompanied by an acceleration of international migration movements to different member states of the EU: Approximately 3,000 people died in 2014 while trying to cross Europe’s borders. At the same time, the emergence of right-wing anti-immigrant political movements across Europe and incidents of violent attacks against immigrants triggered intense public and political debates about the “integration” of immigrant communities. Against this background, the</w:t>
      </w:r>
      <w:r w:rsidRPr="004C769D">
        <w:rPr>
          <w:rFonts w:ascii="Cambria" w:hAnsi="Cambria"/>
          <w:bCs/>
          <w:i/>
          <w:sz w:val="22"/>
          <w:szCs w:val="22"/>
        </w:rPr>
        <w:t xml:space="preserve"> first part</w:t>
      </w:r>
      <w:r w:rsidRPr="004C769D">
        <w:rPr>
          <w:rFonts w:ascii="Cambria" w:hAnsi="Cambria"/>
          <w:bCs/>
          <w:sz w:val="22"/>
          <w:szCs w:val="22"/>
        </w:rPr>
        <w:t xml:space="preserve"> of the course will examine the history and politics of international migration with a special focus on developments in the EU. The </w:t>
      </w:r>
      <w:r w:rsidRPr="004C769D">
        <w:rPr>
          <w:rFonts w:ascii="Cambria" w:hAnsi="Cambria"/>
          <w:bCs/>
          <w:i/>
          <w:sz w:val="22"/>
          <w:szCs w:val="22"/>
        </w:rPr>
        <w:t>second part</w:t>
      </w:r>
      <w:r w:rsidRPr="004C769D">
        <w:rPr>
          <w:rFonts w:ascii="Cambria" w:hAnsi="Cambria"/>
          <w:bCs/>
          <w:sz w:val="22"/>
          <w:szCs w:val="22"/>
        </w:rPr>
        <w:t xml:space="preserve"> will address empirical as well as normative questions related to the incorporation of immigrants through assimilation, integration or multiculturalism in a comparative perspective. The </w:t>
      </w:r>
      <w:r w:rsidRPr="004C769D">
        <w:rPr>
          <w:rFonts w:ascii="Cambria" w:hAnsi="Cambria"/>
          <w:bCs/>
          <w:i/>
          <w:sz w:val="22"/>
          <w:szCs w:val="22"/>
        </w:rPr>
        <w:t>third</w:t>
      </w:r>
      <w:r w:rsidRPr="004C769D">
        <w:rPr>
          <w:rFonts w:ascii="Cambria" w:hAnsi="Cambria"/>
          <w:bCs/>
          <w:sz w:val="22"/>
          <w:szCs w:val="22"/>
        </w:rPr>
        <w:t xml:space="preserve"> part of the course will finally discuss the relevance of migration-related issues in the relationship between Turkey and the EU.</w:t>
      </w:r>
    </w:p>
    <w:p w14:paraId="49933D74" w14:textId="77777777" w:rsidR="007D0B1A" w:rsidRPr="004C769D" w:rsidRDefault="00175610" w:rsidP="007D0B1A">
      <w:pPr>
        <w:rPr>
          <w:rFonts w:ascii="Cambria" w:hAnsi="Cambria"/>
          <w:sz w:val="22"/>
          <w:szCs w:val="22"/>
        </w:rPr>
      </w:pPr>
      <w:r>
        <w:rPr>
          <w:rFonts w:ascii="Cambria" w:hAnsi="Cambria"/>
          <w:sz w:val="22"/>
          <w:szCs w:val="22"/>
        </w:rPr>
        <w:pict w14:anchorId="0903C7BC">
          <v:rect id="_x0000_i1026" style="width:0;height:1.5pt" o:hralign="center" o:hrstd="t" o:hr="t" fillcolor="gray" stroked="f"/>
        </w:pict>
      </w:r>
    </w:p>
    <w:p w14:paraId="48E0EF53" w14:textId="77777777" w:rsidR="008B4D9D" w:rsidRPr="00846EF0" w:rsidRDefault="008B4D9D" w:rsidP="008B4D9D">
      <w:pPr>
        <w:rPr>
          <w:b/>
          <w:bCs/>
          <w:sz w:val="22"/>
          <w:szCs w:val="22"/>
        </w:rPr>
      </w:pPr>
      <w:r w:rsidRPr="00427959">
        <w:rPr>
          <w:b/>
          <w:bCs/>
          <w:sz w:val="22"/>
          <w:szCs w:val="22"/>
        </w:rPr>
        <w:t xml:space="preserve">Course Requirements </w:t>
      </w:r>
    </w:p>
    <w:p w14:paraId="23455196" w14:textId="77777777" w:rsidR="00175610" w:rsidRDefault="008B4D9D" w:rsidP="00175610">
      <w:pPr>
        <w:rPr>
          <w:rFonts w:ascii="Cambria" w:hAnsi="Cambria"/>
          <w:sz w:val="22"/>
          <w:szCs w:val="22"/>
        </w:rPr>
      </w:pPr>
      <w:r w:rsidRPr="00427959">
        <w:rPr>
          <w:sz w:val="22"/>
          <w:szCs w:val="22"/>
        </w:rPr>
        <w:t xml:space="preserve">Students are expected to attend class </w:t>
      </w:r>
      <w:r w:rsidRPr="00427959">
        <w:rPr>
          <w:sz w:val="22"/>
          <w:szCs w:val="22"/>
          <w:u w:val="single"/>
        </w:rPr>
        <w:t>regularly</w:t>
      </w:r>
      <w:r w:rsidRPr="00427959">
        <w:rPr>
          <w:sz w:val="22"/>
          <w:szCs w:val="22"/>
        </w:rPr>
        <w:t xml:space="preserve">, read assigned materials in advance and participate in class discussions. Absence from </w:t>
      </w:r>
      <w:r>
        <w:rPr>
          <w:sz w:val="22"/>
          <w:szCs w:val="22"/>
        </w:rPr>
        <w:t>quizzes and midterm</w:t>
      </w:r>
      <w:r w:rsidRPr="00427959">
        <w:rPr>
          <w:sz w:val="22"/>
          <w:szCs w:val="22"/>
        </w:rPr>
        <w:t xml:space="preserve"> exam due to </w:t>
      </w:r>
      <w:r w:rsidRPr="00427959">
        <w:rPr>
          <w:i/>
          <w:iCs/>
          <w:sz w:val="22"/>
          <w:szCs w:val="22"/>
        </w:rPr>
        <w:t>serious</w:t>
      </w:r>
      <w:r w:rsidRPr="00427959">
        <w:rPr>
          <w:sz w:val="22"/>
          <w:szCs w:val="22"/>
        </w:rPr>
        <w:t xml:space="preserve"> health problems need to be accounted for by providing </w:t>
      </w:r>
      <w:r w:rsidRPr="00427959">
        <w:rPr>
          <w:i/>
          <w:iCs/>
          <w:sz w:val="22"/>
          <w:szCs w:val="22"/>
        </w:rPr>
        <w:t>reliable</w:t>
      </w:r>
      <w:r w:rsidRPr="00427959">
        <w:rPr>
          <w:sz w:val="22"/>
          <w:szCs w:val="22"/>
        </w:rPr>
        <w:t xml:space="preserve"> documentary support (e.g. certification by the University Health Center).</w:t>
      </w:r>
      <w:r>
        <w:rPr>
          <w:sz w:val="22"/>
          <w:szCs w:val="22"/>
        </w:rPr>
        <w:t xml:space="preserve"> </w:t>
      </w:r>
      <w:r w:rsidR="00175610" w:rsidRPr="004C769D">
        <w:rPr>
          <w:rFonts w:ascii="Cambria" w:hAnsi="Cambria"/>
          <w:sz w:val="22"/>
          <w:szCs w:val="22"/>
        </w:rPr>
        <w:t xml:space="preserve">Otherwise, you will definitely have </w:t>
      </w:r>
      <w:r w:rsidR="00175610" w:rsidRPr="004C769D">
        <w:rPr>
          <w:rFonts w:ascii="Cambria" w:hAnsi="Cambria"/>
          <w:b/>
          <w:sz w:val="22"/>
          <w:szCs w:val="22"/>
        </w:rPr>
        <w:t>no make-up options</w:t>
      </w:r>
      <w:r w:rsidR="00175610" w:rsidRPr="004C769D">
        <w:rPr>
          <w:rFonts w:ascii="Cambria" w:hAnsi="Cambria"/>
          <w:sz w:val="22"/>
          <w:szCs w:val="22"/>
        </w:rPr>
        <w:t xml:space="preserve">! </w:t>
      </w:r>
    </w:p>
    <w:p w14:paraId="4BF9C875" w14:textId="77777777" w:rsidR="008B4D9D" w:rsidRPr="003D1208" w:rsidRDefault="008B4D9D" w:rsidP="008B4D9D">
      <w:pPr>
        <w:jc w:val="both"/>
        <w:rPr>
          <w:sz w:val="22"/>
          <w:szCs w:val="22"/>
        </w:rPr>
      </w:pPr>
    </w:p>
    <w:p w14:paraId="488C0ACB" w14:textId="0F460531" w:rsidR="008B4D9D" w:rsidRPr="00555F8B" w:rsidRDefault="008B4D9D" w:rsidP="008B4D9D">
      <w:pPr>
        <w:numPr>
          <w:ilvl w:val="0"/>
          <w:numId w:val="19"/>
        </w:numPr>
        <w:jc w:val="both"/>
        <w:rPr>
          <w:sz w:val="22"/>
          <w:szCs w:val="22"/>
        </w:rPr>
      </w:pPr>
      <w:r w:rsidRPr="00555F8B">
        <w:rPr>
          <w:sz w:val="22"/>
          <w:szCs w:val="22"/>
        </w:rPr>
        <w:t xml:space="preserve">3 </w:t>
      </w:r>
      <w:r w:rsidR="00555F8B" w:rsidRPr="00555F8B">
        <w:rPr>
          <w:sz w:val="22"/>
          <w:szCs w:val="22"/>
        </w:rPr>
        <w:t xml:space="preserve">Review essays </w:t>
      </w:r>
      <w:r w:rsidR="00FF5A86">
        <w:rPr>
          <w:sz w:val="22"/>
          <w:szCs w:val="22"/>
        </w:rPr>
        <w:t>(instructions will be provided later)</w:t>
      </w:r>
    </w:p>
    <w:p w14:paraId="34BA1F50" w14:textId="77777777" w:rsidR="008B4D9D" w:rsidRPr="00555F8B" w:rsidRDefault="008B4D9D" w:rsidP="008B4D9D">
      <w:pPr>
        <w:numPr>
          <w:ilvl w:val="0"/>
          <w:numId w:val="19"/>
        </w:numPr>
        <w:jc w:val="both"/>
        <w:rPr>
          <w:sz w:val="22"/>
          <w:szCs w:val="22"/>
        </w:rPr>
      </w:pPr>
      <w:r w:rsidRPr="00555F8B">
        <w:rPr>
          <w:sz w:val="22"/>
          <w:szCs w:val="22"/>
        </w:rPr>
        <w:t xml:space="preserve">Midterm exam (via Moodle) </w:t>
      </w:r>
    </w:p>
    <w:p w14:paraId="63501089" w14:textId="77777777" w:rsidR="008B4D9D" w:rsidRPr="00555F8B" w:rsidRDefault="008B4D9D" w:rsidP="008B4D9D">
      <w:pPr>
        <w:numPr>
          <w:ilvl w:val="0"/>
          <w:numId w:val="19"/>
        </w:numPr>
        <w:jc w:val="both"/>
        <w:rPr>
          <w:sz w:val="22"/>
          <w:szCs w:val="22"/>
        </w:rPr>
      </w:pPr>
      <w:r w:rsidRPr="00555F8B">
        <w:rPr>
          <w:sz w:val="22"/>
          <w:szCs w:val="22"/>
        </w:rPr>
        <w:t>Final paper</w:t>
      </w:r>
    </w:p>
    <w:p w14:paraId="119734C2" w14:textId="77777777" w:rsidR="008B4D9D" w:rsidRPr="00555F8B" w:rsidRDefault="008B4D9D" w:rsidP="008B4D9D">
      <w:pPr>
        <w:jc w:val="both"/>
        <w:rPr>
          <w:sz w:val="22"/>
          <w:szCs w:val="22"/>
          <w:u w:val="single"/>
        </w:rPr>
      </w:pPr>
    </w:p>
    <w:p w14:paraId="70CFB9E9" w14:textId="4ACD4E05" w:rsidR="008B4D9D" w:rsidRPr="00555F8B" w:rsidRDefault="008B4D9D" w:rsidP="008B4D9D">
      <w:pPr>
        <w:jc w:val="both"/>
        <w:rPr>
          <w:b/>
          <w:sz w:val="22"/>
          <w:szCs w:val="22"/>
        </w:rPr>
      </w:pPr>
      <w:r w:rsidRPr="00555F8B">
        <w:rPr>
          <w:b/>
          <w:sz w:val="22"/>
          <w:szCs w:val="22"/>
          <w:u w:val="single"/>
        </w:rPr>
        <w:t>Grading</w:t>
      </w:r>
      <w:r w:rsidR="0041590C">
        <w:rPr>
          <w:b/>
          <w:sz w:val="22"/>
          <w:szCs w:val="22"/>
        </w:rPr>
        <w:t xml:space="preserve">: </w:t>
      </w:r>
      <w:r w:rsidRPr="00555F8B">
        <w:rPr>
          <w:b/>
          <w:sz w:val="22"/>
          <w:szCs w:val="22"/>
        </w:rPr>
        <w:t>You will receive letter grades, not P/F.</w:t>
      </w:r>
    </w:p>
    <w:p w14:paraId="6C1C0BC4" w14:textId="77777777" w:rsidR="008B4D9D" w:rsidRPr="00555F8B" w:rsidRDefault="008B4D9D" w:rsidP="00555F8B">
      <w:pPr>
        <w:jc w:val="both"/>
        <w:rPr>
          <w:sz w:val="22"/>
          <w:szCs w:val="22"/>
        </w:rPr>
      </w:pPr>
    </w:p>
    <w:p w14:paraId="0AFC3C3E" w14:textId="258CA4EC" w:rsidR="008B4D9D" w:rsidRPr="00555F8B" w:rsidRDefault="008B4D9D" w:rsidP="008B4D9D">
      <w:pPr>
        <w:numPr>
          <w:ilvl w:val="0"/>
          <w:numId w:val="17"/>
        </w:numPr>
        <w:jc w:val="both"/>
        <w:rPr>
          <w:sz w:val="22"/>
          <w:szCs w:val="22"/>
        </w:rPr>
      </w:pPr>
      <w:r w:rsidRPr="00555F8B">
        <w:rPr>
          <w:sz w:val="22"/>
          <w:szCs w:val="22"/>
        </w:rPr>
        <w:t>Attendance &amp; Participation (1</w:t>
      </w:r>
      <w:r w:rsidR="00555F8B" w:rsidRPr="00555F8B">
        <w:rPr>
          <w:sz w:val="22"/>
          <w:szCs w:val="22"/>
        </w:rPr>
        <w:t>0</w:t>
      </w:r>
      <w:r w:rsidRPr="00555F8B">
        <w:rPr>
          <w:sz w:val="22"/>
          <w:szCs w:val="22"/>
        </w:rPr>
        <w:t>%)</w:t>
      </w:r>
    </w:p>
    <w:p w14:paraId="099FC881" w14:textId="4B948EA6" w:rsidR="008B4D9D" w:rsidRPr="00555F8B" w:rsidRDefault="008B4D9D" w:rsidP="008B4D9D">
      <w:pPr>
        <w:numPr>
          <w:ilvl w:val="0"/>
          <w:numId w:val="17"/>
        </w:numPr>
        <w:jc w:val="both"/>
        <w:rPr>
          <w:sz w:val="22"/>
          <w:szCs w:val="22"/>
        </w:rPr>
      </w:pPr>
      <w:r w:rsidRPr="00555F8B">
        <w:rPr>
          <w:sz w:val="22"/>
          <w:szCs w:val="22"/>
        </w:rPr>
        <w:t xml:space="preserve">3 </w:t>
      </w:r>
      <w:r w:rsidR="00555F8B" w:rsidRPr="00555F8B">
        <w:rPr>
          <w:sz w:val="22"/>
          <w:szCs w:val="22"/>
        </w:rPr>
        <w:t>Review essays (30%)</w:t>
      </w:r>
    </w:p>
    <w:p w14:paraId="36320FB8" w14:textId="1F9FABF5" w:rsidR="00555F8B" w:rsidRPr="00555F8B" w:rsidRDefault="00555F8B" w:rsidP="008B4D9D">
      <w:pPr>
        <w:numPr>
          <w:ilvl w:val="0"/>
          <w:numId w:val="17"/>
        </w:numPr>
        <w:jc w:val="both"/>
        <w:rPr>
          <w:sz w:val="22"/>
          <w:szCs w:val="22"/>
        </w:rPr>
      </w:pPr>
      <w:r w:rsidRPr="00555F8B">
        <w:rPr>
          <w:sz w:val="22"/>
          <w:szCs w:val="22"/>
        </w:rPr>
        <w:t>Midterm exam (20%)</w:t>
      </w:r>
    </w:p>
    <w:p w14:paraId="1825E98C" w14:textId="09B3D7E8" w:rsidR="008B4D9D" w:rsidRPr="00555F8B" w:rsidRDefault="008B4D9D" w:rsidP="008B4D9D">
      <w:pPr>
        <w:numPr>
          <w:ilvl w:val="0"/>
          <w:numId w:val="18"/>
        </w:numPr>
        <w:rPr>
          <w:sz w:val="22"/>
          <w:szCs w:val="22"/>
        </w:rPr>
      </w:pPr>
      <w:r w:rsidRPr="00555F8B">
        <w:rPr>
          <w:sz w:val="22"/>
          <w:szCs w:val="22"/>
        </w:rPr>
        <w:t>Final paper (</w:t>
      </w:r>
      <w:r w:rsidR="00555F8B" w:rsidRPr="00555F8B">
        <w:rPr>
          <w:sz w:val="22"/>
          <w:szCs w:val="22"/>
        </w:rPr>
        <w:t>40</w:t>
      </w:r>
      <w:r w:rsidRPr="00555F8B">
        <w:rPr>
          <w:sz w:val="22"/>
          <w:szCs w:val="22"/>
        </w:rPr>
        <w:t>%)</w:t>
      </w:r>
    </w:p>
    <w:p w14:paraId="017D6552" w14:textId="77777777" w:rsidR="008B4D9D" w:rsidRPr="00175610" w:rsidRDefault="008B4D9D" w:rsidP="007D0B1A">
      <w:pPr>
        <w:rPr>
          <w:rFonts w:ascii="Cambria" w:hAnsi="Cambria"/>
          <w:sz w:val="22"/>
          <w:szCs w:val="22"/>
          <w:highlight w:val="yellow"/>
        </w:rPr>
      </w:pPr>
    </w:p>
    <w:p w14:paraId="42A4BCE0" w14:textId="77777777" w:rsidR="007D0B1A" w:rsidRPr="00175610" w:rsidRDefault="007D0B1A" w:rsidP="007D0B1A">
      <w:pPr>
        <w:pStyle w:val="PlainText"/>
        <w:ind w:right="1664"/>
        <w:jc w:val="both"/>
        <w:rPr>
          <w:rFonts w:ascii="Cambria" w:hAnsi="Cambria"/>
          <w:sz w:val="22"/>
          <w:szCs w:val="22"/>
          <w:highlight w:val="yellow"/>
        </w:rPr>
      </w:pPr>
    </w:p>
    <w:p w14:paraId="1B4829AD" w14:textId="77777777" w:rsidR="007D0B1A" w:rsidRPr="004C769D" w:rsidRDefault="007D0B1A" w:rsidP="007D0B1A">
      <w:pPr>
        <w:pBdr>
          <w:top w:val="single" w:sz="4" w:space="1" w:color="auto"/>
        </w:pBdr>
        <w:jc w:val="center"/>
        <w:rPr>
          <w:rFonts w:ascii="Cambria" w:hAnsi="Cambria"/>
          <w:sz w:val="22"/>
          <w:szCs w:val="22"/>
        </w:rPr>
      </w:pPr>
    </w:p>
    <w:p w14:paraId="3A739F66" w14:textId="77777777" w:rsidR="007D0B1A" w:rsidRPr="004C769D" w:rsidRDefault="007D0B1A" w:rsidP="007D0B1A">
      <w:pPr>
        <w:pBdr>
          <w:top w:val="single" w:sz="4" w:space="1" w:color="auto"/>
        </w:pBdr>
        <w:jc w:val="center"/>
        <w:rPr>
          <w:rFonts w:ascii="Cambria" w:hAnsi="Cambria"/>
          <w:b/>
          <w:sz w:val="22"/>
          <w:szCs w:val="22"/>
        </w:rPr>
      </w:pPr>
      <w:r w:rsidRPr="004C769D">
        <w:rPr>
          <w:rFonts w:ascii="Cambria" w:hAnsi="Cambria"/>
          <w:b/>
          <w:sz w:val="22"/>
          <w:szCs w:val="22"/>
        </w:rPr>
        <w:t xml:space="preserve">ACADEMIC HONESTY </w:t>
      </w:r>
    </w:p>
    <w:p w14:paraId="00B6E5D3" w14:textId="77777777" w:rsidR="007D0B1A" w:rsidRPr="004C769D" w:rsidRDefault="007D0B1A" w:rsidP="007D0B1A">
      <w:pPr>
        <w:rPr>
          <w:rFonts w:ascii="Cambria" w:hAnsi="Cambria"/>
          <w:sz w:val="22"/>
          <w:szCs w:val="22"/>
        </w:rPr>
      </w:pPr>
      <w:r w:rsidRPr="004C769D">
        <w:rPr>
          <w:rFonts w:ascii="Cambria" w:hAnsi="Cambria"/>
          <w:sz w:val="22"/>
          <w:szCs w:val="22"/>
        </w:rPr>
        <w:t>The Department of Political Science and International Relations has the following rules and regulations regarding academic honesty.</w:t>
      </w:r>
    </w:p>
    <w:p w14:paraId="039B73FF" w14:textId="77777777" w:rsidR="007D0B1A" w:rsidRPr="004C769D" w:rsidRDefault="007D0B1A" w:rsidP="007D0B1A">
      <w:pPr>
        <w:numPr>
          <w:ilvl w:val="0"/>
          <w:numId w:val="2"/>
        </w:numPr>
        <w:rPr>
          <w:rFonts w:ascii="Cambria" w:hAnsi="Cambria"/>
          <w:sz w:val="22"/>
          <w:szCs w:val="22"/>
        </w:rPr>
      </w:pPr>
      <w:r w:rsidRPr="004C769D">
        <w:rPr>
          <w:rFonts w:ascii="Cambria" w:hAnsi="Cambria"/>
          <w:sz w:val="22"/>
          <w:szCs w:val="22"/>
        </w:rPr>
        <w:t>Copying work from others or giving and receiving answers/information during exams either in written or oral form constitutes cheating.</w:t>
      </w:r>
    </w:p>
    <w:p w14:paraId="7DBDB4C8" w14:textId="77777777" w:rsidR="007D0B1A" w:rsidRPr="004C769D" w:rsidRDefault="007D0B1A" w:rsidP="007D0B1A">
      <w:pPr>
        <w:numPr>
          <w:ilvl w:val="0"/>
          <w:numId w:val="2"/>
        </w:numPr>
        <w:rPr>
          <w:rFonts w:ascii="Cambria" w:hAnsi="Cambria"/>
          <w:sz w:val="22"/>
          <w:szCs w:val="22"/>
        </w:rPr>
      </w:pPr>
      <w:r w:rsidRPr="004C769D">
        <w:rPr>
          <w:rFonts w:ascii="Cambria" w:hAnsi="Cambria"/>
          <w:sz w:val="22"/>
          <w:szCs w:val="22"/>
        </w:rPr>
        <w:t xml:space="preserve">Submitting take-home exams and papers of others as your own, using sentences or paragraphs from another author without the proper acknowledgement of the original author, insufficient acknowledgement of the consulted works in the bibliography, all constitute plagiarism. For further guidelines, you can consult </w:t>
      </w:r>
      <w:hyperlink r:id="rId6" w:history="1">
        <w:r w:rsidRPr="004C769D">
          <w:rPr>
            <w:rStyle w:val="Hyperlink"/>
            <w:rFonts w:ascii="Cambria" w:hAnsi="Cambria"/>
            <w:sz w:val="22"/>
            <w:szCs w:val="22"/>
          </w:rPr>
          <w:t>http://web.gc.cuny.edu/provost/pdf/AvoidingPlagiarism.pdf</w:t>
        </w:r>
      </w:hyperlink>
    </w:p>
    <w:p w14:paraId="71CD5C5D" w14:textId="77777777" w:rsidR="007D0B1A" w:rsidRPr="004C769D" w:rsidRDefault="007D0B1A" w:rsidP="007D0B1A">
      <w:pPr>
        <w:numPr>
          <w:ilvl w:val="0"/>
          <w:numId w:val="2"/>
        </w:numPr>
        <w:rPr>
          <w:rFonts w:ascii="Cambria" w:hAnsi="Cambria"/>
          <w:sz w:val="22"/>
          <w:szCs w:val="22"/>
        </w:rPr>
      </w:pPr>
      <w:r w:rsidRPr="004C769D">
        <w:rPr>
          <w:rFonts w:ascii="Cambria" w:hAnsi="Cambria"/>
          <w:b/>
          <w:sz w:val="22"/>
          <w:szCs w:val="22"/>
        </w:rPr>
        <w:t>Plagiarism and cheating</w:t>
      </w:r>
      <w:r w:rsidRPr="004C769D">
        <w:rPr>
          <w:rFonts w:ascii="Cambria" w:hAnsi="Cambria"/>
          <w:sz w:val="22"/>
          <w:szCs w:val="22"/>
        </w:rPr>
        <w:t xml:space="preserve"> are </w:t>
      </w:r>
      <w:r w:rsidRPr="004C769D">
        <w:rPr>
          <w:rFonts w:ascii="Cambria" w:hAnsi="Cambria"/>
          <w:b/>
          <w:sz w:val="22"/>
          <w:szCs w:val="22"/>
        </w:rPr>
        <w:t xml:space="preserve">serious offenses </w:t>
      </w:r>
      <w:r w:rsidRPr="004C769D">
        <w:rPr>
          <w:rFonts w:ascii="Cambria" w:hAnsi="Cambria"/>
          <w:sz w:val="22"/>
          <w:szCs w:val="22"/>
        </w:rPr>
        <w:t>and will result in:</w:t>
      </w:r>
    </w:p>
    <w:p w14:paraId="6E5D588A" w14:textId="77777777" w:rsidR="007D0B1A" w:rsidRPr="004C769D" w:rsidRDefault="007D0B1A" w:rsidP="007D0B1A">
      <w:pPr>
        <w:numPr>
          <w:ilvl w:val="0"/>
          <w:numId w:val="3"/>
        </w:numPr>
        <w:rPr>
          <w:rFonts w:ascii="Cambria" w:hAnsi="Cambria"/>
          <w:sz w:val="22"/>
          <w:szCs w:val="22"/>
          <w:u w:val="single"/>
        </w:rPr>
      </w:pPr>
      <w:r w:rsidRPr="004C769D">
        <w:rPr>
          <w:rFonts w:ascii="Cambria" w:hAnsi="Cambria"/>
          <w:sz w:val="22"/>
          <w:szCs w:val="22"/>
          <w:u w:val="single"/>
        </w:rPr>
        <w:t xml:space="preserve">an automatic </w:t>
      </w:r>
      <w:r w:rsidRPr="004C769D">
        <w:rPr>
          <w:rFonts w:ascii="Cambria" w:hAnsi="Cambria"/>
          <w:b/>
          <w:sz w:val="22"/>
          <w:szCs w:val="22"/>
          <w:u w:val="single"/>
        </w:rPr>
        <w:t>“F”</w:t>
      </w:r>
      <w:r w:rsidRPr="004C769D">
        <w:rPr>
          <w:rFonts w:ascii="Cambria" w:hAnsi="Cambria"/>
          <w:sz w:val="22"/>
          <w:szCs w:val="22"/>
          <w:u w:val="single"/>
        </w:rPr>
        <w:t xml:space="preserve"> in the assignment or the exam</w:t>
      </w:r>
    </w:p>
    <w:p w14:paraId="0E1A909C" w14:textId="77777777" w:rsidR="007D0B1A" w:rsidRPr="004C769D" w:rsidRDefault="007D0B1A" w:rsidP="007D0B1A">
      <w:pPr>
        <w:numPr>
          <w:ilvl w:val="0"/>
          <w:numId w:val="3"/>
        </w:numPr>
        <w:rPr>
          <w:rFonts w:ascii="Cambria" w:hAnsi="Cambria"/>
          <w:sz w:val="22"/>
          <w:szCs w:val="22"/>
          <w:u w:val="single"/>
        </w:rPr>
      </w:pPr>
      <w:r w:rsidRPr="004C769D">
        <w:rPr>
          <w:rFonts w:ascii="Cambria" w:hAnsi="Cambria"/>
          <w:sz w:val="22"/>
          <w:szCs w:val="22"/>
          <w:u w:val="single"/>
        </w:rPr>
        <w:t xml:space="preserve">an oral explanation before the </w:t>
      </w:r>
      <w:r w:rsidRPr="004C769D">
        <w:rPr>
          <w:rFonts w:ascii="Cambria" w:hAnsi="Cambria"/>
          <w:b/>
          <w:sz w:val="22"/>
          <w:szCs w:val="22"/>
          <w:u w:val="single"/>
        </w:rPr>
        <w:t>Departmental Ethics Committee</w:t>
      </w:r>
    </w:p>
    <w:p w14:paraId="2C2A687F" w14:textId="77777777" w:rsidR="007D0B1A" w:rsidRPr="004C769D" w:rsidRDefault="007D0B1A" w:rsidP="007D0B1A">
      <w:pPr>
        <w:numPr>
          <w:ilvl w:val="0"/>
          <w:numId w:val="3"/>
        </w:numPr>
        <w:rPr>
          <w:rFonts w:ascii="Cambria" w:hAnsi="Cambria"/>
          <w:sz w:val="22"/>
          <w:szCs w:val="22"/>
          <w:u w:val="single"/>
        </w:rPr>
      </w:pPr>
      <w:r w:rsidRPr="004C769D">
        <w:rPr>
          <w:rFonts w:ascii="Cambria" w:hAnsi="Cambria"/>
          <w:sz w:val="22"/>
          <w:szCs w:val="22"/>
          <w:u w:val="single"/>
        </w:rPr>
        <w:t>losing the opportunity to request and receive any references from the entire faculty</w:t>
      </w:r>
    </w:p>
    <w:p w14:paraId="71F78FF9" w14:textId="77777777" w:rsidR="007D0B1A" w:rsidRPr="004C769D" w:rsidRDefault="007D0B1A" w:rsidP="007D0B1A">
      <w:pPr>
        <w:numPr>
          <w:ilvl w:val="0"/>
          <w:numId w:val="3"/>
        </w:numPr>
        <w:rPr>
          <w:rFonts w:ascii="Cambria" w:hAnsi="Cambria"/>
          <w:sz w:val="22"/>
          <w:szCs w:val="22"/>
          <w:u w:val="single"/>
        </w:rPr>
      </w:pPr>
      <w:r w:rsidRPr="004C769D">
        <w:rPr>
          <w:rFonts w:ascii="Cambria" w:hAnsi="Cambria"/>
          <w:sz w:val="22"/>
          <w:szCs w:val="22"/>
          <w:u w:val="single"/>
        </w:rPr>
        <w:t>losing the opportunity to apply in exchange programs</w:t>
      </w:r>
    </w:p>
    <w:p w14:paraId="415B3A5E" w14:textId="77777777" w:rsidR="007D0B1A" w:rsidRPr="001032C8" w:rsidRDefault="007D0B1A" w:rsidP="007D0B1A">
      <w:pPr>
        <w:numPr>
          <w:ilvl w:val="0"/>
          <w:numId w:val="3"/>
        </w:numPr>
        <w:rPr>
          <w:rFonts w:ascii="Cambria" w:hAnsi="Cambria"/>
          <w:sz w:val="22"/>
          <w:szCs w:val="22"/>
          <w:u w:val="single"/>
        </w:rPr>
      </w:pPr>
      <w:r w:rsidRPr="004C769D">
        <w:rPr>
          <w:rFonts w:ascii="Cambria" w:hAnsi="Cambria"/>
          <w:sz w:val="22"/>
          <w:szCs w:val="22"/>
          <w:u w:val="single"/>
        </w:rPr>
        <w:t>losing the prospects of becoming a student assistant or a graduate assistant in the department.</w:t>
      </w:r>
    </w:p>
    <w:p w14:paraId="63DB0C2D" w14:textId="77777777" w:rsidR="007D0B1A" w:rsidRPr="004C769D" w:rsidRDefault="007D0B1A" w:rsidP="007D0B1A">
      <w:pPr>
        <w:pBdr>
          <w:bottom w:val="single" w:sz="4" w:space="1" w:color="auto"/>
        </w:pBdr>
        <w:rPr>
          <w:rFonts w:ascii="Cambria" w:hAnsi="Cambria"/>
          <w:sz w:val="22"/>
          <w:szCs w:val="22"/>
        </w:rPr>
      </w:pPr>
      <w:r w:rsidRPr="004C769D">
        <w:rPr>
          <w:rFonts w:ascii="Cambria" w:hAnsi="Cambria"/>
          <w:sz w:val="22"/>
          <w:szCs w:val="22"/>
        </w:rPr>
        <w:t xml:space="preserve">The students may further be sent to the </w:t>
      </w:r>
      <w:r w:rsidRPr="004C769D">
        <w:rPr>
          <w:rFonts w:ascii="Cambria" w:hAnsi="Cambria"/>
          <w:b/>
          <w:sz w:val="22"/>
          <w:szCs w:val="22"/>
        </w:rPr>
        <w:t>University Ethics committee</w:t>
      </w:r>
      <w:r w:rsidRPr="004C769D">
        <w:rPr>
          <w:rFonts w:ascii="Cambria" w:hAnsi="Cambria"/>
          <w:sz w:val="22"/>
          <w:szCs w:val="22"/>
        </w:rPr>
        <w:t xml:space="preserve"> or be subject to </w:t>
      </w:r>
      <w:r w:rsidRPr="004C769D">
        <w:rPr>
          <w:rFonts w:ascii="Cambria" w:hAnsi="Cambria"/>
          <w:b/>
          <w:sz w:val="22"/>
          <w:szCs w:val="22"/>
        </w:rPr>
        <w:t>disciplinary action</w:t>
      </w:r>
      <w:r w:rsidRPr="004C769D">
        <w:rPr>
          <w:rFonts w:ascii="Cambria" w:hAnsi="Cambria"/>
          <w:sz w:val="22"/>
          <w:szCs w:val="22"/>
        </w:rPr>
        <w:t>.</w:t>
      </w:r>
    </w:p>
    <w:p w14:paraId="4136EFCE" w14:textId="77777777" w:rsidR="0041590C" w:rsidRDefault="0041590C" w:rsidP="007D0B1A">
      <w:pPr>
        <w:pStyle w:val="literature"/>
        <w:numPr>
          <w:ilvl w:val="0"/>
          <w:numId w:val="0"/>
        </w:numPr>
        <w:spacing w:before="120"/>
        <w:ind w:left="360"/>
        <w:jc w:val="center"/>
        <w:rPr>
          <w:b/>
          <w:sz w:val="24"/>
          <w14:shadow w14:blurRad="50800" w14:dist="38100" w14:dir="2700000" w14:sx="100000" w14:sy="100000" w14:kx="0" w14:ky="0" w14:algn="tl">
            <w14:srgbClr w14:val="000000">
              <w14:alpha w14:val="60000"/>
            </w14:srgbClr>
          </w14:shadow>
        </w:rPr>
      </w:pPr>
    </w:p>
    <w:p w14:paraId="739A9171" w14:textId="77777777" w:rsidR="0041590C" w:rsidRDefault="0041590C" w:rsidP="007D0B1A">
      <w:pPr>
        <w:pStyle w:val="literature"/>
        <w:numPr>
          <w:ilvl w:val="0"/>
          <w:numId w:val="0"/>
        </w:numPr>
        <w:spacing w:before="120"/>
        <w:ind w:left="360"/>
        <w:jc w:val="center"/>
        <w:rPr>
          <w:b/>
          <w:sz w:val="24"/>
          <w14:shadow w14:blurRad="50800" w14:dist="38100" w14:dir="2700000" w14:sx="100000" w14:sy="100000" w14:kx="0" w14:ky="0" w14:algn="tl">
            <w14:srgbClr w14:val="000000">
              <w14:alpha w14:val="60000"/>
            </w14:srgbClr>
          </w14:shadow>
        </w:rPr>
      </w:pPr>
    </w:p>
    <w:p w14:paraId="656F06FE" w14:textId="77777777" w:rsidR="007D0B1A" w:rsidRPr="00F95124" w:rsidRDefault="007D0B1A" w:rsidP="007D0B1A">
      <w:pPr>
        <w:pStyle w:val="literature"/>
        <w:numPr>
          <w:ilvl w:val="0"/>
          <w:numId w:val="0"/>
        </w:numPr>
        <w:spacing w:before="120"/>
        <w:ind w:left="360"/>
        <w:jc w:val="center"/>
        <w:rPr>
          <w:b/>
          <w:sz w:val="24"/>
          <w14:shadow w14:blurRad="50800" w14:dist="38100" w14:dir="2700000" w14:sx="100000" w14:sy="100000" w14:kx="0" w14:ky="0" w14:algn="tl">
            <w14:srgbClr w14:val="000000">
              <w14:alpha w14:val="60000"/>
            </w14:srgbClr>
          </w14:shadow>
        </w:rPr>
      </w:pPr>
      <w:r w:rsidRPr="00F95124">
        <w:rPr>
          <w:b/>
          <w:sz w:val="24"/>
          <w14:shadow w14:blurRad="50800" w14:dist="38100" w14:dir="2700000" w14:sx="100000" w14:sy="100000" w14:kx="0" w14:ky="0" w14:algn="tl">
            <w14:srgbClr w14:val="000000">
              <w14:alpha w14:val="60000"/>
            </w14:srgbClr>
          </w14:shadow>
        </w:rPr>
        <w:t>Class Schedule &amp; Topics</w:t>
      </w:r>
    </w:p>
    <w:p w14:paraId="5AC2310B" w14:textId="77777777" w:rsidR="00175610" w:rsidRPr="00F95124" w:rsidRDefault="00175610" w:rsidP="00F95124">
      <w:pPr>
        <w:autoSpaceDE w:val="0"/>
        <w:autoSpaceDN w:val="0"/>
        <w:adjustRightInd w:val="0"/>
        <w:jc w:val="center"/>
        <w:rPr>
          <w:b/>
        </w:rPr>
      </w:pPr>
      <w:r w:rsidRPr="00F95124">
        <w:rPr>
          <w:b/>
          <w:highlight w:val="yellow"/>
        </w:rPr>
        <w:t xml:space="preserve">READINGS ARE SUBJECT TO </w:t>
      </w:r>
      <w:proofErr w:type="gramStart"/>
      <w:r w:rsidRPr="00F95124">
        <w:rPr>
          <w:b/>
          <w:highlight w:val="yellow"/>
        </w:rPr>
        <w:t>CHANGE !</w:t>
      </w:r>
      <w:proofErr w:type="gramEnd"/>
      <w:r w:rsidRPr="00F95124">
        <w:rPr>
          <w:b/>
          <w:highlight w:val="yellow"/>
        </w:rPr>
        <w:t>!</w:t>
      </w:r>
    </w:p>
    <w:p w14:paraId="6F6C26A5" w14:textId="77777777" w:rsidR="007D0B1A" w:rsidRPr="00F95124" w:rsidRDefault="007D0B1A" w:rsidP="007D0B1A">
      <w:pPr>
        <w:pStyle w:val="literature"/>
        <w:numPr>
          <w:ilvl w:val="0"/>
          <w:numId w:val="0"/>
        </w:numPr>
        <w:spacing w:before="120"/>
        <w:rPr>
          <w:b/>
          <w:bCs/>
          <w:sz w:val="24"/>
          <w14:shadow w14:blurRad="50800" w14:dist="38100" w14:dir="2700000" w14:sx="100000" w14:sy="100000" w14:kx="0" w14:ky="0" w14:algn="tl">
            <w14:srgbClr w14:val="000000">
              <w14:alpha w14:val="60000"/>
            </w14:srgbClr>
          </w14:shadow>
        </w:rPr>
      </w:pPr>
    </w:p>
    <w:p w14:paraId="3F80236F" w14:textId="49A925EB" w:rsidR="007D0B1A" w:rsidRPr="00F95124" w:rsidRDefault="00175610" w:rsidP="007D0B1A">
      <w:pPr>
        <w:pStyle w:val="literature"/>
        <w:numPr>
          <w:ilvl w:val="0"/>
          <w:numId w:val="0"/>
        </w:numPr>
        <w:spacing w:before="120"/>
        <w:rPr>
          <w:sz w:val="24"/>
          <w14:shadow w14:blurRad="50800" w14:dist="38100" w14:dir="2700000" w14:sx="100000" w14:sy="100000" w14:kx="0" w14:ky="0" w14:algn="tl">
            <w14:srgbClr w14:val="000000">
              <w14:alpha w14:val="60000"/>
            </w14:srgbClr>
          </w14:shadow>
        </w:rPr>
      </w:pPr>
      <w:r w:rsidRPr="00F95124">
        <w:rPr>
          <w:b/>
          <w:bCs/>
          <w:sz w:val="24"/>
          <w14:shadow w14:blurRad="50800" w14:dist="38100" w14:dir="2700000" w14:sx="100000" w14:sy="100000" w14:kx="0" w14:ky="0" w14:algn="tl">
            <w14:srgbClr w14:val="000000">
              <w14:alpha w14:val="60000"/>
            </w14:srgbClr>
          </w14:shadow>
        </w:rPr>
        <w:t xml:space="preserve">Oct.  26 </w:t>
      </w:r>
      <w:r w:rsidRPr="00F95124">
        <w:rPr>
          <w:b/>
          <w:bCs/>
          <w:sz w:val="24"/>
          <w14:shadow w14:blurRad="50800" w14:dist="38100" w14:dir="2700000" w14:sx="100000" w14:sy="100000" w14:kx="0" w14:ky="0" w14:algn="tl">
            <w14:srgbClr w14:val="000000">
              <w14:alpha w14:val="60000"/>
            </w14:srgbClr>
          </w14:shadow>
        </w:rPr>
        <w:tab/>
      </w:r>
      <w:r w:rsidR="007D0B1A" w:rsidRPr="00F95124">
        <w:rPr>
          <w:b/>
          <w:bCs/>
          <w:sz w:val="24"/>
          <w14:shadow w14:blurRad="50800" w14:dist="38100" w14:dir="2700000" w14:sx="100000" w14:sy="100000" w14:kx="0" w14:ky="0" w14:algn="tl">
            <w14:srgbClr w14:val="000000">
              <w14:alpha w14:val="60000"/>
            </w14:srgbClr>
          </w14:shadow>
        </w:rPr>
        <w:t>Introduction</w:t>
      </w:r>
    </w:p>
    <w:p w14:paraId="2D95FF3F" w14:textId="3F3960AC" w:rsidR="00175610" w:rsidRPr="00F95124" w:rsidRDefault="00F95124" w:rsidP="007D0B1A">
      <w:pPr>
        <w:pStyle w:val="literature"/>
        <w:numPr>
          <w:ilvl w:val="0"/>
          <w:numId w:val="0"/>
        </w:numPr>
        <w:spacing w:before="120"/>
        <w:rPr>
          <w:b/>
          <w:bCs/>
          <w:sz w:val="24"/>
          <w14:shadow w14:blurRad="50800" w14:dist="38100" w14:dir="2700000" w14:sx="100000" w14:sy="100000" w14:kx="0" w14:ky="0" w14:algn="tl">
            <w14:srgbClr w14:val="000000">
              <w14:alpha w14:val="60000"/>
            </w14:srgbClr>
          </w14:shadow>
        </w:rPr>
      </w:pPr>
      <w:r>
        <w:rPr>
          <w:b/>
          <w:bCs/>
          <w:sz w:val="24"/>
          <w14:shadow w14:blurRad="50800" w14:dist="38100" w14:dir="2700000" w14:sx="100000" w14:sy="100000" w14:kx="0" w14:ky="0" w14:algn="tl">
            <w14:srgbClr w14:val="000000">
              <w14:alpha w14:val="60000"/>
            </w14:srgbClr>
          </w14:shadow>
        </w:rPr>
        <w:t>Oct. 28</w:t>
      </w:r>
      <w:r>
        <w:rPr>
          <w:b/>
          <w:bCs/>
          <w:sz w:val="24"/>
          <w14:shadow w14:blurRad="50800" w14:dist="38100" w14:dir="2700000" w14:sx="100000" w14:sy="100000" w14:kx="0" w14:ky="0" w14:algn="tl">
            <w14:srgbClr w14:val="000000">
              <w14:alpha w14:val="60000"/>
            </w14:srgbClr>
          </w14:shadow>
        </w:rPr>
        <w:tab/>
      </w:r>
      <w:r w:rsidR="00175610" w:rsidRPr="00F95124">
        <w:rPr>
          <w:b/>
          <w:bCs/>
          <w:sz w:val="24"/>
          <w14:shadow w14:blurRad="50800" w14:dist="38100" w14:dir="2700000" w14:sx="100000" w14:sy="100000" w14:kx="0" w14:ky="0" w14:algn="tl">
            <w14:srgbClr w14:val="000000">
              <w14:alpha w14:val="60000"/>
            </w14:srgbClr>
          </w14:shadow>
        </w:rPr>
        <w:t>A Short History of the European Union</w:t>
      </w:r>
    </w:p>
    <w:p w14:paraId="7AAD8852" w14:textId="0B91E10C" w:rsidR="00F95124" w:rsidRPr="00F95124" w:rsidRDefault="00F95124" w:rsidP="00F95124">
      <w:pPr>
        <w:pStyle w:val="literature"/>
        <w:numPr>
          <w:ilvl w:val="0"/>
          <w:numId w:val="20"/>
        </w:numPr>
        <w:spacing w:before="120"/>
        <w:rPr>
          <w:rFonts w:ascii="Cambria" w:hAnsi="Cambria"/>
          <w:b/>
          <w:bCs/>
          <w:sz w:val="24"/>
          <w14:shadow w14:blurRad="50800" w14:dist="38100" w14:dir="2700000" w14:sx="100000" w14:sy="100000" w14:kx="0" w14:ky="0" w14:algn="tl">
            <w14:srgbClr w14:val="000000">
              <w14:alpha w14:val="60000"/>
            </w14:srgbClr>
          </w14:shadow>
        </w:rPr>
      </w:pPr>
      <w:hyperlink r:id="rId7" w:history="1">
        <w:r w:rsidRPr="00F95124">
          <w:rPr>
            <w:rStyle w:val="Hyperlink"/>
            <w:rFonts w:ascii="Cambria" w:hAnsi="Cambria"/>
            <w:b/>
            <w:bCs/>
            <w:sz w:val="24"/>
            <w14:shadow w14:blurRad="50800" w14:dist="38100" w14:dir="2700000" w14:sx="100000" w14:sy="100000" w14:kx="0" w14:ky="0" w14:algn="tl">
              <w14:srgbClr w14:val="000000">
                <w14:alpha w14:val="60000"/>
              </w14:srgbClr>
            </w14:shadow>
          </w:rPr>
          <w:t>https://europarlamentti.info/en/European-union/history/</w:t>
        </w:r>
      </w:hyperlink>
    </w:p>
    <w:p w14:paraId="18A45445" w14:textId="77777777" w:rsidR="00F95124" w:rsidRPr="00F95124" w:rsidRDefault="00F95124" w:rsidP="00F95124">
      <w:pPr>
        <w:pStyle w:val="literature"/>
        <w:widowControl w:val="0"/>
        <w:numPr>
          <w:ilvl w:val="0"/>
          <w:numId w:val="16"/>
        </w:numPr>
        <w:autoSpaceDE w:val="0"/>
        <w:autoSpaceDN w:val="0"/>
        <w:adjustRightInd w:val="0"/>
        <w:spacing w:before="120"/>
        <w:rPr>
          <w:sz w:val="24"/>
          <w:lang w:eastAsia="tr-TR"/>
        </w:rPr>
      </w:pPr>
      <w:r w:rsidRPr="00F95124">
        <w:rPr>
          <w:sz w:val="24"/>
          <w:lang w:eastAsia="tr-TR"/>
        </w:rPr>
        <w:t>Desmond Dinan (2007) Fifty Years of European Integration: A</w:t>
      </w:r>
      <w:r w:rsidRPr="00F95124">
        <w:rPr>
          <w:rFonts w:ascii="Cambria" w:hAnsi="Cambria"/>
          <w:b/>
          <w:sz w:val="24"/>
          <w14:shadow w14:blurRad="50800" w14:dist="38100" w14:dir="2700000" w14:sx="100000" w14:sy="100000" w14:kx="0" w14:ky="0" w14:algn="tl">
            <w14:srgbClr w14:val="000000">
              <w14:alpha w14:val="60000"/>
            </w14:srgbClr>
          </w14:shadow>
        </w:rPr>
        <w:t xml:space="preserve"> </w:t>
      </w:r>
      <w:r w:rsidRPr="00F95124">
        <w:rPr>
          <w:sz w:val="24"/>
          <w:lang w:eastAsia="tr-TR"/>
        </w:rPr>
        <w:t>Remarkable Achievement, Fordham International Law Journal, Vol. 31: 1118</w:t>
      </w:r>
    </w:p>
    <w:p w14:paraId="6F516143" w14:textId="77777777" w:rsidR="00F95124" w:rsidRPr="00F95124" w:rsidRDefault="00F95124" w:rsidP="007D0B1A">
      <w:pPr>
        <w:pStyle w:val="literature"/>
        <w:numPr>
          <w:ilvl w:val="0"/>
          <w:numId w:val="0"/>
        </w:numPr>
        <w:spacing w:before="120"/>
        <w:rPr>
          <w:rFonts w:ascii="Cambria" w:hAnsi="Cambria"/>
          <w:b/>
          <w:bCs/>
          <w:sz w:val="24"/>
          <w14:shadow w14:blurRad="50800" w14:dist="38100" w14:dir="2700000" w14:sx="100000" w14:sy="100000" w14:kx="0" w14:ky="0" w14:algn="tl">
            <w14:srgbClr w14:val="000000">
              <w14:alpha w14:val="60000"/>
            </w14:srgbClr>
          </w14:shadow>
        </w:rPr>
      </w:pPr>
    </w:p>
    <w:p w14:paraId="31DC2381" w14:textId="33B5E856" w:rsidR="007D0B1A" w:rsidRPr="00F95124" w:rsidRDefault="00F95124" w:rsidP="007D0B1A">
      <w:pPr>
        <w:pStyle w:val="literature"/>
        <w:numPr>
          <w:ilvl w:val="0"/>
          <w:numId w:val="0"/>
        </w:numPr>
        <w:spacing w:before="120"/>
        <w:rPr>
          <w:b/>
          <w:bCs/>
          <w:sz w:val="24"/>
          <w14:shadow w14:blurRad="50800" w14:dist="38100" w14:dir="2700000" w14:sx="100000" w14:sy="100000" w14:kx="0" w14:ky="0" w14:algn="tl">
            <w14:srgbClr w14:val="000000">
              <w14:alpha w14:val="60000"/>
            </w14:srgbClr>
          </w14:shadow>
        </w:rPr>
      </w:pPr>
      <w:r w:rsidRPr="00F95124">
        <w:rPr>
          <w:b/>
          <w:bCs/>
          <w:sz w:val="24"/>
          <w14:shadow w14:blurRad="50800" w14:dist="38100" w14:dir="2700000" w14:sx="100000" w14:sy="100000" w14:kx="0" w14:ky="0" w14:algn="tl">
            <w14:srgbClr w14:val="000000">
              <w14:alpha w14:val="60000"/>
            </w14:srgbClr>
          </w14:shadow>
        </w:rPr>
        <w:t>Nov. 2-4</w:t>
      </w:r>
      <w:r w:rsidR="007D0B1A" w:rsidRPr="00F95124">
        <w:rPr>
          <w:b/>
          <w:bCs/>
          <w:sz w:val="24"/>
          <w14:shadow w14:blurRad="50800" w14:dist="38100" w14:dir="2700000" w14:sx="100000" w14:sy="100000" w14:kx="0" w14:ky="0" w14:algn="tl">
            <w14:srgbClr w14:val="000000">
              <w14:alpha w14:val="60000"/>
            </w14:srgbClr>
          </w14:shadow>
        </w:rPr>
        <w:tab/>
        <w:t xml:space="preserve">International Migration: History, Theory, Politics </w:t>
      </w:r>
    </w:p>
    <w:p w14:paraId="654ADEF5" w14:textId="77777777" w:rsidR="007D0B1A" w:rsidRPr="00F95124" w:rsidRDefault="007D0B1A" w:rsidP="007D0B1A">
      <w:pPr>
        <w:pStyle w:val="literature"/>
        <w:numPr>
          <w:ilvl w:val="0"/>
          <w:numId w:val="5"/>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Zolberg, Aristide (1981) International Migrations in Political Perspective in:  Kritz, Mary M. et. al (1981) Global Trends in Migration. Theory and Research on International Population Movements, The Center for Migration Studies of New York, pp. 3-27</w:t>
      </w:r>
    </w:p>
    <w:p w14:paraId="045847B5" w14:textId="77777777" w:rsidR="007D0B1A" w:rsidRPr="00F95124" w:rsidRDefault="007D0B1A" w:rsidP="007D0B1A">
      <w:pPr>
        <w:pStyle w:val="literature"/>
        <w:numPr>
          <w:ilvl w:val="0"/>
          <w:numId w:val="5"/>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Castles, Stephen et. al (2013) The Age of Migration. Palgrave MacMillan (ch 1: Introduction, pp. 1-16)</w:t>
      </w:r>
    </w:p>
    <w:p w14:paraId="49C3910B" w14:textId="77777777" w:rsidR="007D0B1A" w:rsidRPr="00F95124" w:rsidRDefault="007D0B1A" w:rsidP="007D0B1A">
      <w:pPr>
        <w:pStyle w:val="literature"/>
        <w:numPr>
          <w:ilvl w:val="0"/>
          <w:numId w:val="5"/>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Massey, Douglas (1993) Theories of International Migration: A Review and Appraisal, Population and Development Review 19 (3):431-466</w:t>
      </w:r>
    </w:p>
    <w:p w14:paraId="6EA025DD" w14:textId="77777777" w:rsidR="007D0B1A" w:rsidRPr="00F95124" w:rsidRDefault="007D0B1A" w:rsidP="007D0B1A">
      <w:pPr>
        <w:pStyle w:val="literature"/>
        <w:numPr>
          <w:ilvl w:val="0"/>
          <w:numId w:val="5"/>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Castles, Stephen  (1995) How nation-states respond to immigration and ethnic divesity? Journal of Ethnic and Migration Studies 21 (3) 293-308</w:t>
      </w:r>
    </w:p>
    <w:p w14:paraId="10D98B72" w14:textId="77777777" w:rsidR="007D0B1A" w:rsidRPr="00F95124" w:rsidRDefault="007D0B1A" w:rsidP="007D0B1A">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p>
    <w:p w14:paraId="6E2CA119" w14:textId="525252E5" w:rsidR="007D0B1A" w:rsidRPr="00F95124" w:rsidRDefault="00F95124" w:rsidP="00F95124">
      <w:pPr>
        <w:pStyle w:val="literature"/>
        <w:numPr>
          <w:ilvl w:val="0"/>
          <w:numId w:val="0"/>
        </w:numPr>
        <w:spacing w:before="120"/>
        <w:rPr>
          <w:b/>
          <w:sz w:val="24"/>
          <w14:shadow w14:blurRad="50800" w14:dist="38100" w14:dir="2700000" w14:sx="100000" w14:sy="100000" w14:kx="0" w14:ky="0" w14:algn="tl">
            <w14:srgbClr w14:val="000000">
              <w14:alpha w14:val="60000"/>
            </w14:srgbClr>
          </w14:shadow>
        </w:rPr>
      </w:pPr>
      <w:r w:rsidRPr="00F95124">
        <w:rPr>
          <w:b/>
          <w:sz w:val="24"/>
          <w14:shadow w14:blurRad="50800" w14:dist="38100" w14:dir="2700000" w14:sx="100000" w14:sy="100000" w14:kx="0" w14:ky="0" w14:algn="tl">
            <w14:srgbClr w14:val="000000">
              <w14:alpha w14:val="60000"/>
            </w14:srgbClr>
          </w14:shadow>
        </w:rPr>
        <w:t>Nov. 9-11</w:t>
      </w:r>
      <w:r w:rsidR="007D0B1A" w:rsidRPr="00F95124">
        <w:rPr>
          <w:b/>
          <w:sz w:val="24"/>
          <w14:shadow w14:blurRad="50800" w14:dist="38100" w14:dir="2700000" w14:sx="100000" w14:sy="100000" w14:kx="0" w14:ky="0" w14:algn="tl">
            <w14:srgbClr w14:val="000000">
              <w14:alpha w14:val="60000"/>
            </w14:srgbClr>
          </w14:shadow>
        </w:rPr>
        <w:t xml:space="preserve"> </w:t>
      </w:r>
      <w:r w:rsidR="007D0B1A" w:rsidRPr="00F95124">
        <w:rPr>
          <w:b/>
          <w:sz w:val="24"/>
          <w14:shadow w14:blurRad="50800" w14:dist="38100" w14:dir="2700000" w14:sx="100000" w14:sy="100000" w14:kx="0" w14:ky="0" w14:algn="tl">
            <w14:srgbClr w14:val="000000">
              <w14:alpha w14:val="60000"/>
            </w14:srgbClr>
          </w14:shadow>
        </w:rPr>
        <w:tab/>
        <w:t>Migration &amp; Asylum in the EU: The Legal Framework</w:t>
      </w:r>
    </w:p>
    <w:p w14:paraId="412D3218" w14:textId="77777777" w:rsidR="007D0B1A" w:rsidRPr="00F95124" w:rsidRDefault="007D0B1A" w:rsidP="00F95124">
      <w:pPr>
        <w:pStyle w:val="literature"/>
        <w:numPr>
          <w:ilvl w:val="0"/>
          <w:numId w:val="6"/>
        </w:numPr>
        <w:tabs>
          <w:tab w:val="left" w:pos="720"/>
        </w:tabs>
        <w:spacing w:before="120"/>
        <w:ind w:left="1440"/>
        <w:rPr>
          <w:sz w:val="24"/>
          <w14:shadow w14:blurRad="50800" w14:dist="38100" w14:dir="2700000" w14:sx="100000" w14:sy="100000" w14:kx="0" w14:ky="0" w14:algn="tl">
            <w14:srgbClr w14:val="000000">
              <w14:alpha w14:val="60000"/>
            </w14:srgbClr>
          </w14:shadow>
        </w:rPr>
      </w:pPr>
      <w:r w:rsidRPr="00F95124">
        <w:rPr>
          <w:color w:val="000000"/>
          <w:sz w:val="24"/>
        </w:rPr>
        <w:t>Schain. Martin (2009) The State Strikes Back: Immigration Policy in the European Union, The European Journal of International Law 20(1):93-109.</w:t>
      </w:r>
    </w:p>
    <w:p w14:paraId="7DE79FDA" w14:textId="77777777" w:rsidR="007D0B1A" w:rsidRPr="00F95124" w:rsidRDefault="007D0B1A" w:rsidP="00F95124">
      <w:pPr>
        <w:pStyle w:val="literature"/>
        <w:numPr>
          <w:ilvl w:val="0"/>
          <w:numId w:val="6"/>
        </w:numPr>
        <w:tabs>
          <w:tab w:val="left" w:pos="720"/>
        </w:tabs>
        <w:spacing w:before="120"/>
        <w:ind w:left="1440"/>
        <w:rPr>
          <w:color w:val="000000"/>
          <w:sz w:val="24"/>
        </w:rPr>
      </w:pPr>
      <w:r w:rsidRPr="00F95124">
        <w:rPr>
          <w:sz w:val="24"/>
          <w14:shadow w14:blurRad="50800" w14:dist="38100" w14:dir="2700000" w14:sx="100000" w14:sy="100000" w14:kx="0" w14:ky="0" w14:algn="tl">
            <w14:srgbClr w14:val="000000">
              <w14:alpha w14:val="60000"/>
            </w14:srgbClr>
          </w14:shadow>
        </w:rPr>
        <w:t xml:space="preserve">Perchinig, Bernhard (2011) </w:t>
      </w:r>
      <w:r w:rsidRPr="00F95124">
        <w:rPr>
          <w:bCs/>
          <w:noProof w:val="0"/>
          <w:color w:val="000000"/>
          <w:sz w:val="24"/>
        </w:rPr>
        <w:t xml:space="preserve">The Development of EU Immigration and Integration Policy and Its Consequences for Legal and Illegal Immigrants, in: </w:t>
      </w:r>
      <w:r w:rsidRPr="00F95124">
        <w:rPr>
          <w:color w:val="000000"/>
          <w:sz w:val="24"/>
        </w:rPr>
        <w:t xml:space="preserve">Džihić, V.&amp;Schmidinger, T. (eds.): Looming Shadows - Migration and Integration in a Time of Upheaval. European and American Perspectives. Washington (Brookings Institution Press) 2011, 23-49. </w:t>
      </w:r>
    </w:p>
    <w:p w14:paraId="39EC65EE" w14:textId="77777777" w:rsidR="007D0B1A" w:rsidRPr="00F95124" w:rsidRDefault="007D0B1A" w:rsidP="00F95124">
      <w:pPr>
        <w:pStyle w:val="literature"/>
        <w:numPr>
          <w:ilvl w:val="0"/>
          <w:numId w:val="0"/>
        </w:numPr>
        <w:tabs>
          <w:tab w:val="left" w:pos="720"/>
        </w:tabs>
        <w:spacing w:before="120"/>
        <w:rPr>
          <w:i/>
          <w:color w:val="000000"/>
          <w:sz w:val="24"/>
        </w:rPr>
      </w:pPr>
      <w:r w:rsidRPr="00F95124">
        <w:rPr>
          <w:i/>
          <w:color w:val="000000"/>
          <w:sz w:val="24"/>
        </w:rPr>
        <w:t>Recommended reading:</w:t>
      </w:r>
    </w:p>
    <w:p w14:paraId="3D0F3F7E" w14:textId="77777777" w:rsidR="007D0B1A" w:rsidRPr="00F95124" w:rsidRDefault="007D0B1A" w:rsidP="00F95124">
      <w:pPr>
        <w:pStyle w:val="literature"/>
        <w:numPr>
          <w:ilvl w:val="0"/>
          <w:numId w:val="6"/>
        </w:numPr>
        <w:tabs>
          <w:tab w:val="left" w:pos="720"/>
        </w:tabs>
        <w:spacing w:before="120"/>
        <w:ind w:left="360"/>
        <w:rPr>
          <w:sz w:val="24"/>
          <w14:shadow w14:blurRad="50800" w14:dist="38100" w14:dir="2700000" w14:sx="100000" w14:sy="100000" w14:kx="0" w14:ky="0" w14:algn="tl">
            <w14:srgbClr w14:val="000000">
              <w14:alpha w14:val="60000"/>
            </w14:srgbClr>
          </w14:shadow>
        </w:rPr>
      </w:pPr>
      <w:r w:rsidRPr="00F95124">
        <w:rPr>
          <w:color w:val="000000"/>
          <w:sz w:val="24"/>
        </w:rPr>
        <w:t>Handbook on European law relating to asylum, borders and immigration,  European Fundamental Rights Agency, 2014, pp. 42-93</w:t>
      </w:r>
    </w:p>
    <w:p w14:paraId="0D038B0F" w14:textId="77777777" w:rsidR="007D0B1A" w:rsidRPr="00F95124" w:rsidRDefault="007D0B1A" w:rsidP="007D0B1A">
      <w:pPr>
        <w:pStyle w:val="literature"/>
        <w:numPr>
          <w:ilvl w:val="0"/>
          <w:numId w:val="0"/>
        </w:numPr>
        <w:spacing w:before="120"/>
        <w:ind w:left="360" w:hanging="360"/>
        <w:rPr>
          <w:b/>
          <w:sz w:val="24"/>
          <w14:shadow w14:blurRad="50800" w14:dist="38100" w14:dir="2700000" w14:sx="100000" w14:sy="100000" w14:kx="0" w14:ky="0" w14:algn="tl">
            <w14:srgbClr w14:val="000000">
              <w14:alpha w14:val="60000"/>
            </w14:srgbClr>
          </w14:shadow>
        </w:rPr>
      </w:pPr>
    </w:p>
    <w:p w14:paraId="5BFA8076" w14:textId="13B63A76" w:rsidR="007D0B1A" w:rsidRPr="00F95124" w:rsidRDefault="00F95124" w:rsidP="007D0B1A">
      <w:pPr>
        <w:pStyle w:val="literature"/>
        <w:numPr>
          <w:ilvl w:val="0"/>
          <w:numId w:val="0"/>
        </w:numPr>
        <w:spacing w:before="120"/>
        <w:ind w:left="360" w:hanging="360"/>
        <w:rPr>
          <w:b/>
          <w:sz w:val="24"/>
          <w14:shadow w14:blurRad="50800" w14:dist="38100" w14:dir="2700000" w14:sx="100000" w14:sy="100000" w14:kx="0" w14:ky="0" w14:algn="tl">
            <w14:srgbClr w14:val="000000">
              <w14:alpha w14:val="60000"/>
            </w14:srgbClr>
          </w14:shadow>
        </w:rPr>
      </w:pPr>
      <w:r>
        <w:rPr>
          <w:b/>
          <w:sz w:val="24"/>
          <w14:shadow w14:blurRad="50800" w14:dist="38100" w14:dir="2700000" w14:sx="100000" w14:sy="100000" w14:kx="0" w14:ky="0" w14:algn="tl">
            <w14:srgbClr w14:val="000000">
              <w14:alpha w14:val="60000"/>
            </w14:srgbClr>
          </w14:shadow>
        </w:rPr>
        <w:t>Nov. 16-18</w:t>
      </w:r>
      <w:r w:rsidR="007D0B1A" w:rsidRPr="00F95124">
        <w:rPr>
          <w:b/>
          <w:sz w:val="24"/>
          <w14:shadow w14:blurRad="50800" w14:dist="38100" w14:dir="2700000" w14:sx="100000" w14:sy="100000" w14:kx="0" w14:ky="0" w14:algn="tl">
            <w14:srgbClr w14:val="000000">
              <w14:alpha w14:val="60000"/>
            </w14:srgbClr>
          </w14:shadow>
        </w:rPr>
        <w:tab/>
      </w:r>
      <w:r w:rsidR="007D0B1A" w:rsidRPr="00F95124">
        <w:rPr>
          <w:b/>
          <w:sz w:val="24"/>
          <w14:shadow w14:blurRad="50800" w14:dist="38100" w14:dir="2700000" w14:sx="100000" w14:sy="100000" w14:kx="0" w14:ky="0" w14:algn="tl">
            <w14:srgbClr w14:val="000000">
              <w14:alpha w14:val="60000"/>
            </w14:srgbClr>
          </w14:shadow>
        </w:rPr>
        <w:tab/>
        <w:t>Is there a European Identity?</w:t>
      </w:r>
    </w:p>
    <w:p w14:paraId="341F09AE" w14:textId="77777777" w:rsidR="007D0B1A" w:rsidRPr="00F95124" w:rsidRDefault="007D0B1A" w:rsidP="007D0B1A">
      <w:pPr>
        <w:pStyle w:val="literature"/>
        <w:numPr>
          <w:ilvl w:val="0"/>
          <w:numId w:val="8"/>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Pagden, Anthony (2002) Europe: Conceptualizing a Continent, in: Pagden, A. (ed.) The Idea of Europe. From Antiquity to the European Union, Cambridge University Press, pp. 33-54.</w:t>
      </w:r>
    </w:p>
    <w:p w14:paraId="25C337BF" w14:textId="77777777" w:rsidR="007D0B1A" w:rsidRPr="00F95124" w:rsidRDefault="007D0B1A" w:rsidP="007D0B1A">
      <w:pPr>
        <w:pStyle w:val="literature"/>
        <w:numPr>
          <w:ilvl w:val="0"/>
          <w:numId w:val="8"/>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 xml:space="preserve">Smith, Anthony (1992) National identity and the idea of European unity, International Affairs 68 (55-76). </w:t>
      </w:r>
    </w:p>
    <w:p w14:paraId="4D3E6491" w14:textId="77777777" w:rsidR="007D0B1A" w:rsidRPr="00F95124" w:rsidRDefault="007D0B1A" w:rsidP="007D0B1A">
      <w:pPr>
        <w:pStyle w:val="literature"/>
        <w:numPr>
          <w:ilvl w:val="0"/>
          <w:numId w:val="8"/>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Strath, Bo (2002) A European Identity. To the Historical Limits of a Concept, European Journal of Social Theory 5(4): 387-401</w:t>
      </w:r>
    </w:p>
    <w:p w14:paraId="69762D43" w14:textId="77777777" w:rsidR="007D0B1A" w:rsidRPr="00F95124" w:rsidRDefault="007D0B1A" w:rsidP="007D0B1A">
      <w:pPr>
        <w:pStyle w:val="literature"/>
        <w:numPr>
          <w:ilvl w:val="0"/>
          <w:numId w:val="0"/>
        </w:numPr>
        <w:spacing w:before="120"/>
        <w:rPr>
          <w:b/>
          <w:sz w:val="24"/>
          <w14:shadow w14:blurRad="50800" w14:dist="38100" w14:dir="2700000" w14:sx="100000" w14:sy="100000" w14:kx="0" w14:ky="0" w14:algn="tl">
            <w14:srgbClr w14:val="000000">
              <w14:alpha w14:val="60000"/>
            </w14:srgbClr>
          </w14:shadow>
        </w:rPr>
      </w:pPr>
    </w:p>
    <w:p w14:paraId="75B3565A" w14:textId="4C15275D" w:rsidR="007D0B1A" w:rsidRPr="00F95124" w:rsidRDefault="00F95124" w:rsidP="007D0B1A">
      <w:pPr>
        <w:pStyle w:val="literature"/>
        <w:numPr>
          <w:ilvl w:val="0"/>
          <w:numId w:val="0"/>
        </w:numPr>
        <w:spacing w:before="120"/>
        <w:rPr>
          <w:b/>
          <w:sz w:val="24"/>
          <w14:shadow w14:blurRad="50800" w14:dist="38100" w14:dir="2700000" w14:sx="100000" w14:sy="100000" w14:kx="0" w14:ky="0" w14:algn="tl">
            <w14:srgbClr w14:val="000000">
              <w14:alpha w14:val="60000"/>
            </w14:srgbClr>
          </w14:shadow>
        </w:rPr>
      </w:pPr>
      <w:r>
        <w:rPr>
          <w:b/>
          <w:sz w:val="24"/>
          <w14:shadow w14:blurRad="50800" w14:dist="38100" w14:dir="2700000" w14:sx="100000" w14:sy="100000" w14:kx="0" w14:ky="0" w14:algn="tl">
            <w14:srgbClr w14:val="000000">
              <w14:alpha w14:val="60000"/>
            </w14:srgbClr>
          </w14:shadow>
        </w:rPr>
        <w:t>Nov. 23-25</w:t>
      </w:r>
      <w:r w:rsidR="007D0B1A" w:rsidRPr="00F95124">
        <w:rPr>
          <w:b/>
          <w:sz w:val="24"/>
          <w14:shadow w14:blurRad="50800" w14:dist="38100" w14:dir="2700000" w14:sx="100000" w14:sy="100000" w14:kx="0" w14:ky="0" w14:algn="tl">
            <w14:srgbClr w14:val="000000">
              <w14:alpha w14:val="60000"/>
            </w14:srgbClr>
          </w14:shadow>
        </w:rPr>
        <w:tab/>
        <w:t xml:space="preserve">Migration as a Threat to (national/European) Identity? </w:t>
      </w:r>
    </w:p>
    <w:p w14:paraId="7C04B3ED" w14:textId="77777777" w:rsidR="007D0B1A" w:rsidRPr="00F95124" w:rsidRDefault="007D0B1A" w:rsidP="007D0B1A">
      <w:pPr>
        <w:pStyle w:val="literature"/>
        <w:numPr>
          <w:ilvl w:val="0"/>
          <w:numId w:val="7"/>
        </w:numPr>
        <w:tabs>
          <w:tab w:val="left" w:pos="720"/>
        </w:tabs>
        <w:spacing w:before="120"/>
        <w:rPr>
          <w:b/>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Lucassen, L.  et al. (2006) Paths of Integration. Migrants in Western Europe (1880-2004). Amsterdam University Press.</w:t>
      </w:r>
    </w:p>
    <w:p w14:paraId="5B778767" w14:textId="77777777" w:rsidR="007D0B1A" w:rsidRPr="00F95124" w:rsidRDefault="007D0B1A" w:rsidP="007D0B1A">
      <w:pPr>
        <w:pStyle w:val="literature"/>
        <w:numPr>
          <w:ilvl w:val="1"/>
          <w:numId w:val="7"/>
        </w:numPr>
        <w:tabs>
          <w:tab w:val="left" w:pos="720"/>
        </w:tabs>
        <w:spacing w:before="120"/>
        <w:rPr>
          <w:b/>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Lucassen, L. (2006) Poles and Turks in the Gereman Ruhr Area: Similarities and Differences, pp. 27-45</w:t>
      </w:r>
    </w:p>
    <w:p w14:paraId="13926173" w14:textId="77777777" w:rsidR="007D0B1A" w:rsidRPr="00F95124" w:rsidRDefault="007D0B1A" w:rsidP="007D0B1A">
      <w:pPr>
        <w:pStyle w:val="literature"/>
        <w:numPr>
          <w:ilvl w:val="1"/>
          <w:numId w:val="7"/>
        </w:numPr>
        <w:tabs>
          <w:tab w:val="left" w:pos="720"/>
        </w:tabs>
        <w:spacing w:before="120"/>
        <w:rPr>
          <w:b/>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Blanc-Chaleard, M.-C. (2006) Old and New Migrants in France: Italians and Algerians, pp. 46-62.</w:t>
      </w:r>
    </w:p>
    <w:p w14:paraId="71B122E2" w14:textId="77777777" w:rsidR="007D0B1A" w:rsidRPr="00F95124" w:rsidRDefault="007D0B1A" w:rsidP="007D0B1A">
      <w:pPr>
        <w:pStyle w:val="literature"/>
        <w:numPr>
          <w:ilvl w:val="1"/>
          <w:numId w:val="7"/>
        </w:numPr>
        <w:tabs>
          <w:tab w:val="left" w:pos="720"/>
        </w:tabs>
        <w:spacing w:before="120"/>
        <w:rPr>
          <w:b/>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Lucassen, L. et al. (2006) Drawing Up the Balance Sheet, pp. 283-296.</w:t>
      </w:r>
    </w:p>
    <w:p w14:paraId="33943B74" w14:textId="77777777" w:rsidR="007D0B1A" w:rsidRPr="00F95124" w:rsidRDefault="007D0B1A" w:rsidP="007D0B1A">
      <w:pPr>
        <w:pStyle w:val="literature"/>
        <w:numPr>
          <w:ilvl w:val="0"/>
          <w:numId w:val="0"/>
        </w:numPr>
        <w:spacing w:before="120"/>
        <w:ind w:left="360" w:hanging="360"/>
        <w:rPr>
          <w:b/>
          <w:sz w:val="24"/>
          <w14:shadow w14:blurRad="50800" w14:dist="38100" w14:dir="2700000" w14:sx="100000" w14:sy="100000" w14:kx="0" w14:ky="0" w14:algn="tl">
            <w14:srgbClr w14:val="000000">
              <w14:alpha w14:val="60000"/>
            </w14:srgbClr>
          </w14:shadow>
        </w:rPr>
      </w:pPr>
    </w:p>
    <w:p w14:paraId="58B994A6" w14:textId="024A3F9D" w:rsidR="007D0B1A" w:rsidRPr="00F95124" w:rsidRDefault="00F95124" w:rsidP="00F95124">
      <w:pPr>
        <w:pStyle w:val="literature"/>
        <w:numPr>
          <w:ilvl w:val="0"/>
          <w:numId w:val="0"/>
        </w:numPr>
        <w:spacing w:before="120"/>
        <w:rPr>
          <w:b/>
          <w:sz w:val="24"/>
          <w14:shadow w14:blurRad="50800" w14:dist="38100" w14:dir="2700000" w14:sx="100000" w14:sy="100000" w14:kx="0" w14:ky="0" w14:algn="tl">
            <w14:srgbClr w14:val="000000">
              <w14:alpha w14:val="60000"/>
            </w14:srgbClr>
          </w14:shadow>
        </w:rPr>
      </w:pPr>
      <w:r>
        <w:rPr>
          <w:b/>
          <w:sz w:val="24"/>
          <w14:shadow w14:blurRad="50800" w14:dist="38100" w14:dir="2700000" w14:sx="100000" w14:sy="100000" w14:kx="0" w14:ky="0" w14:algn="tl">
            <w14:srgbClr w14:val="000000">
              <w14:alpha w14:val="60000"/>
            </w14:srgbClr>
          </w14:shadow>
        </w:rPr>
        <w:t xml:space="preserve">Nov. 30-Dec. 2    </w:t>
      </w:r>
      <w:r w:rsidR="007D0B1A" w:rsidRPr="00F95124">
        <w:rPr>
          <w:b/>
          <w:sz w:val="24"/>
          <w14:shadow w14:blurRad="50800" w14:dist="38100" w14:dir="2700000" w14:sx="100000" w14:sy="100000" w14:kx="0" w14:ky="0" w14:algn="tl">
            <w14:srgbClr w14:val="000000">
              <w14:alpha w14:val="60000"/>
            </w14:srgbClr>
          </w14:shadow>
        </w:rPr>
        <w:t>Assimilation, Integration, Multiculturalism: Comparative Perspectives (I)</w:t>
      </w:r>
    </w:p>
    <w:p w14:paraId="62889765" w14:textId="77777777" w:rsidR="007D0B1A" w:rsidRPr="00F95124" w:rsidRDefault="007D0B1A" w:rsidP="007D0B1A">
      <w:pPr>
        <w:numPr>
          <w:ilvl w:val="0"/>
          <w:numId w:val="9"/>
        </w:numPr>
        <w:autoSpaceDE w:val="0"/>
        <w:autoSpaceDN w:val="0"/>
        <w:adjustRightInd w:val="0"/>
        <w:spacing w:before="120"/>
        <w:rPr>
          <w14:shadow w14:blurRad="50800" w14:dist="38100" w14:dir="2700000" w14:sx="100000" w14:sy="100000" w14:kx="0" w14:ky="0" w14:algn="tl">
            <w14:srgbClr w14:val="000000">
              <w14:alpha w14:val="60000"/>
            </w14:srgbClr>
          </w14:shadow>
        </w:rPr>
      </w:pPr>
      <w:proofErr w:type="spellStart"/>
      <w:r w:rsidRPr="00F95124">
        <w:rPr>
          <w14:shadow w14:blurRad="50800" w14:dist="38100" w14:dir="2700000" w14:sx="100000" w14:sy="100000" w14:kx="0" w14:ky="0" w14:algn="tl">
            <w14:srgbClr w14:val="000000">
              <w14:alpha w14:val="60000"/>
            </w14:srgbClr>
          </w14:shadow>
        </w:rPr>
        <w:t>Bloemrad</w:t>
      </w:r>
      <w:proofErr w:type="spellEnd"/>
      <w:r w:rsidRPr="00F95124">
        <w:rPr>
          <w14:shadow w14:blurRad="50800" w14:dist="38100" w14:dir="2700000" w14:sx="100000" w14:sy="100000" w14:kx="0" w14:ky="0" w14:algn="tl">
            <w14:srgbClr w14:val="000000">
              <w14:alpha w14:val="60000"/>
            </w14:srgbClr>
          </w14:shadow>
        </w:rPr>
        <w:t xml:space="preserve">, Irene </w:t>
      </w:r>
      <w:proofErr w:type="gramStart"/>
      <w:r w:rsidRPr="00F95124">
        <w:rPr>
          <w14:shadow w14:blurRad="50800" w14:dist="38100" w14:dir="2700000" w14:sx="100000" w14:sy="100000" w14:kx="0" w14:ky="0" w14:algn="tl">
            <w14:srgbClr w14:val="000000">
              <w14:alpha w14:val="60000"/>
            </w14:srgbClr>
          </w14:shadow>
        </w:rPr>
        <w:t>et</w:t>
      </w:r>
      <w:proofErr w:type="gramEnd"/>
      <w:r w:rsidRPr="00F95124">
        <w:rPr>
          <w14:shadow w14:blurRad="50800" w14:dist="38100" w14:dir="2700000" w14:sx="100000" w14:sy="100000" w14:kx="0" w14:ky="0" w14:algn="tl">
            <w14:srgbClr w14:val="000000">
              <w14:alpha w14:val="60000"/>
            </w14:srgbClr>
          </w14:shadow>
        </w:rPr>
        <w:t xml:space="preserve">. </w:t>
      </w:r>
      <w:proofErr w:type="gramStart"/>
      <w:r w:rsidRPr="00F95124">
        <w:rPr>
          <w14:shadow w14:blurRad="50800" w14:dist="38100" w14:dir="2700000" w14:sx="100000" w14:sy="100000" w14:kx="0" w14:ky="0" w14:algn="tl">
            <w14:srgbClr w14:val="000000">
              <w14:alpha w14:val="60000"/>
            </w14:srgbClr>
          </w14:shadow>
        </w:rPr>
        <w:t>al</w:t>
      </w:r>
      <w:proofErr w:type="gramEnd"/>
      <w:r w:rsidRPr="00F95124">
        <w:rPr>
          <w14:shadow w14:blurRad="50800" w14:dist="38100" w14:dir="2700000" w14:sx="100000" w14:sy="100000" w14:kx="0" w14:ky="0" w14:algn="tl">
            <w14:srgbClr w14:val="000000">
              <w14:alpha w14:val="60000"/>
            </w14:srgbClr>
          </w14:shadow>
        </w:rPr>
        <w:t xml:space="preserve"> (2008)  </w:t>
      </w:r>
      <w:r w:rsidRPr="00F95124">
        <w:rPr>
          <w:rFonts w:eastAsia="JansonText-Roman"/>
        </w:rPr>
        <w:t>Citizenship and Immigration: Multiculturalism, Assimilation, and Challenges to the Nation-State</w:t>
      </w:r>
      <w:r w:rsidRPr="00F95124">
        <w:rPr>
          <w14:shadow w14:blurRad="50800" w14:dist="38100" w14:dir="2700000" w14:sx="100000" w14:sy="100000" w14:kx="0" w14:ky="0" w14:algn="tl">
            <w14:srgbClr w14:val="000000">
              <w14:alpha w14:val="60000"/>
            </w14:srgbClr>
          </w14:shadow>
        </w:rPr>
        <w:t xml:space="preserve">, </w:t>
      </w:r>
      <w:r w:rsidRPr="00F95124">
        <w:rPr>
          <w:rFonts w:eastAsia="JansonText-Roman"/>
        </w:rPr>
        <w:t>Annual Rev. of Sociology: 34:153–79</w:t>
      </w:r>
    </w:p>
    <w:p w14:paraId="2D24D788" w14:textId="77777777" w:rsidR="007D0B1A" w:rsidRPr="00F95124" w:rsidRDefault="007D0B1A" w:rsidP="007D0B1A">
      <w:pPr>
        <w:numPr>
          <w:ilvl w:val="0"/>
          <w:numId w:val="9"/>
        </w:numPr>
        <w:autoSpaceDE w:val="0"/>
        <w:autoSpaceDN w:val="0"/>
        <w:adjustRightInd w:val="0"/>
        <w:spacing w:before="120"/>
        <w:rPr>
          <w14:shadow w14:blurRad="50800" w14:dist="38100" w14:dir="2700000" w14:sx="100000" w14:sy="100000" w14:kx="0" w14:ky="0" w14:algn="tl">
            <w14:srgbClr w14:val="000000">
              <w14:alpha w14:val="60000"/>
            </w14:srgbClr>
          </w14:shadow>
        </w:rPr>
      </w:pPr>
      <w:proofErr w:type="spellStart"/>
      <w:r w:rsidRPr="00F95124">
        <w:rPr>
          <w:rFonts w:eastAsia="JansonText-Roman"/>
        </w:rPr>
        <w:t>Zolberg</w:t>
      </w:r>
      <w:proofErr w:type="spellEnd"/>
      <w:r w:rsidRPr="00F95124">
        <w:rPr>
          <w:rFonts w:eastAsia="JansonText-Roman"/>
        </w:rPr>
        <w:t xml:space="preserve">, Aristide &amp; Long </w:t>
      </w:r>
      <w:proofErr w:type="spellStart"/>
      <w:r w:rsidRPr="00F95124">
        <w:rPr>
          <w:rFonts w:eastAsia="JansonText-Roman"/>
        </w:rPr>
        <w:t>Litt</w:t>
      </w:r>
      <w:proofErr w:type="spellEnd"/>
      <w:r w:rsidRPr="00F95124">
        <w:rPr>
          <w:rFonts w:eastAsia="JansonText-Roman"/>
        </w:rPr>
        <w:t xml:space="preserve"> </w:t>
      </w:r>
      <w:proofErr w:type="spellStart"/>
      <w:r w:rsidRPr="00F95124">
        <w:rPr>
          <w:rFonts w:eastAsia="JansonText-Roman"/>
        </w:rPr>
        <w:t>Woon</w:t>
      </w:r>
      <w:proofErr w:type="spellEnd"/>
      <w:r w:rsidRPr="00F95124">
        <w:rPr>
          <w:rFonts w:eastAsia="JansonText-Roman"/>
        </w:rPr>
        <w:t xml:space="preserve"> (1999) Why Islam is like Spanish? Cultural Incorporation in Europe and the United States, Politics &amp; Society 27 (5): 5-38</w:t>
      </w:r>
    </w:p>
    <w:p w14:paraId="796D4E13" w14:textId="77777777" w:rsidR="007D0B1A" w:rsidRPr="00F95124" w:rsidRDefault="007D0B1A" w:rsidP="007D0B1A">
      <w:pPr>
        <w:numPr>
          <w:ilvl w:val="0"/>
          <w:numId w:val="9"/>
        </w:numPr>
        <w:autoSpaceDE w:val="0"/>
        <w:autoSpaceDN w:val="0"/>
        <w:adjustRightInd w:val="0"/>
        <w:spacing w:before="120"/>
        <w:rPr>
          <w14:shadow w14:blurRad="50800" w14:dist="38100" w14:dir="2700000" w14:sx="100000" w14:sy="100000" w14:kx="0" w14:ky="0" w14:algn="tl">
            <w14:srgbClr w14:val="000000">
              <w14:alpha w14:val="60000"/>
            </w14:srgbClr>
          </w14:shadow>
        </w:rPr>
      </w:pPr>
      <w:r w:rsidRPr="00F95124">
        <w:rPr>
          <w14:shadow w14:blurRad="50800" w14:dist="38100" w14:dir="2700000" w14:sx="100000" w14:sy="100000" w14:kx="0" w14:ky="0" w14:algn="tl">
            <w14:srgbClr w14:val="000000">
              <w14:alpha w14:val="60000"/>
            </w14:srgbClr>
          </w14:shadow>
        </w:rPr>
        <w:t xml:space="preserve">Alba, Richard &amp; Nancy </w:t>
      </w:r>
      <w:proofErr w:type="spellStart"/>
      <w:r w:rsidRPr="00F95124">
        <w:rPr>
          <w14:shadow w14:blurRad="50800" w14:dist="38100" w14:dir="2700000" w14:sx="100000" w14:sy="100000" w14:kx="0" w14:ky="0" w14:algn="tl">
            <w14:srgbClr w14:val="000000">
              <w14:alpha w14:val="60000"/>
            </w14:srgbClr>
          </w14:shadow>
        </w:rPr>
        <w:t>Foner</w:t>
      </w:r>
      <w:proofErr w:type="spellEnd"/>
      <w:r w:rsidRPr="00F95124">
        <w:rPr>
          <w14:shadow w14:blurRad="50800" w14:dist="38100" w14:dir="2700000" w14:sx="100000" w14:sy="100000" w14:kx="0" w14:ky="0" w14:algn="tl">
            <w14:srgbClr w14:val="000000">
              <w14:alpha w14:val="60000"/>
            </w14:srgbClr>
          </w14:shadow>
        </w:rPr>
        <w:t xml:space="preserve"> (2008) Immigrant Religion in the U.S. and Western Europe: Bridge or Barrier to Inclusion, IMR 42(2): 360-392) </w:t>
      </w:r>
    </w:p>
    <w:p w14:paraId="71592EA7" w14:textId="77777777" w:rsidR="007D0B1A" w:rsidRPr="00F95124" w:rsidRDefault="007D0B1A" w:rsidP="007D0B1A">
      <w:pPr>
        <w:pStyle w:val="ListParagraph"/>
        <w:numPr>
          <w:ilvl w:val="0"/>
          <w:numId w:val="9"/>
        </w:numPr>
      </w:pPr>
      <w:proofErr w:type="spellStart"/>
      <w:r w:rsidRPr="00F95124">
        <w:t>Foner</w:t>
      </w:r>
      <w:proofErr w:type="spellEnd"/>
      <w:r w:rsidRPr="00F95124">
        <w:t>, Nancy (2015) Is Islam in Western Europe Like Race in the United States? Sociological Forum, Vol. 30, No. 4, December 2015</w:t>
      </w:r>
    </w:p>
    <w:p w14:paraId="055FB156" w14:textId="77777777" w:rsidR="007D0B1A" w:rsidRPr="00F95124" w:rsidRDefault="007D0B1A" w:rsidP="007D0B1A">
      <w:pPr>
        <w:pStyle w:val="literature"/>
        <w:numPr>
          <w:ilvl w:val="0"/>
          <w:numId w:val="0"/>
        </w:numPr>
        <w:spacing w:before="240"/>
        <w:ind w:left="1080" w:hanging="360"/>
        <w:jc w:val="center"/>
        <w:rPr>
          <w:sz w:val="24"/>
          <w14:shadow w14:blurRad="50800" w14:dist="38100" w14:dir="2700000" w14:sx="100000" w14:sy="100000" w14:kx="0" w14:ky="0" w14:algn="tl">
            <w14:srgbClr w14:val="000000">
              <w14:alpha w14:val="60000"/>
            </w14:srgbClr>
          </w14:shadow>
        </w:rPr>
      </w:pPr>
    </w:p>
    <w:p w14:paraId="4322DCAD" w14:textId="7304FB2C" w:rsidR="007D0B1A" w:rsidRPr="00F95124" w:rsidRDefault="00F95124" w:rsidP="007D0B1A">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r>
        <w:rPr>
          <w:b/>
          <w:sz w:val="24"/>
          <w14:shadow w14:blurRad="50800" w14:dist="38100" w14:dir="2700000" w14:sx="100000" w14:sy="100000" w14:kx="0" w14:ky="0" w14:algn="tl">
            <w14:srgbClr w14:val="000000">
              <w14:alpha w14:val="60000"/>
            </w14:srgbClr>
          </w14:shadow>
        </w:rPr>
        <w:t>Dec. 7-9</w:t>
      </w:r>
      <w:r>
        <w:rPr>
          <w:b/>
          <w:sz w:val="24"/>
          <w14:shadow w14:blurRad="50800" w14:dist="38100" w14:dir="2700000" w14:sx="100000" w14:sy="100000" w14:kx="0" w14:ky="0" w14:algn="tl">
            <w14:srgbClr w14:val="000000">
              <w14:alpha w14:val="60000"/>
            </w14:srgbClr>
          </w14:shadow>
        </w:rPr>
        <w:tab/>
      </w:r>
      <w:r w:rsidR="007D0B1A" w:rsidRPr="00F95124">
        <w:rPr>
          <w:b/>
          <w:sz w:val="24"/>
          <w14:shadow w14:blurRad="50800" w14:dist="38100" w14:dir="2700000" w14:sx="100000" w14:sy="100000" w14:kx="0" w14:ky="0" w14:algn="tl">
            <w14:srgbClr w14:val="000000">
              <w14:alpha w14:val="60000"/>
            </w14:srgbClr>
          </w14:shadow>
        </w:rPr>
        <w:t>Assimilation, Integration, Multiculturalism: Comparative Perspectives (II)</w:t>
      </w:r>
    </w:p>
    <w:p w14:paraId="2B78A7AC" w14:textId="77777777" w:rsidR="007D0B1A" w:rsidRPr="00F95124" w:rsidRDefault="007D0B1A" w:rsidP="007D0B1A">
      <w:pPr>
        <w:pStyle w:val="literature"/>
        <w:numPr>
          <w:ilvl w:val="0"/>
          <w:numId w:val="4"/>
        </w:numPr>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Portes, Alejandro &amp; Jozsef Böröcz (1989) Contemporary Immigration: Theoretical Perspectives on Its Determinants and Modes of Incorporation, International Migration Review 23 (3): 606-630</w:t>
      </w:r>
    </w:p>
    <w:p w14:paraId="4EC54E9F" w14:textId="77777777" w:rsidR="007D0B1A" w:rsidRPr="00F95124" w:rsidRDefault="007D0B1A" w:rsidP="007D0B1A">
      <w:pPr>
        <w:pStyle w:val="literature"/>
        <w:numPr>
          <w:ilvl w:val="0"/>
          <w:numId w:val="4"/>
        </w:numPr>
        <w:tabs>
          <w:tab w:val="left" w:pos="720"/>
        </w:tabs>
        <w:spacing w:before="120"/>
        <w:jc w:val="left"/>
        <w:rPr>
          <w:sz w:val="24"/>
        </w:rPr>
      </w:pPr>
      <w:r w:rsidRPr="00F95124">
        <w:rPr>
          <w:sz w:val="24"/>
          <w14:shadow w14:blurRad="50800" w14:dist="38100" w14:dir="2700000" w14:sx="100000" w14:sy="100000" w14:kx="0" w14:ky="0" w14:algn="tl">
            <w14:srgbClr w14:val="000000">
              <w14:alpha w14:val="60000"/>
            </w14:srgbClr>
          </w14:shadow>
        </w:rPr>
        <w:t>Bauböck, Rainer (2002) Farewell to Multiculturalism? Sharing Values and Identities in Societies of Immigration, Journal of International Migration and Integration 3(1): 1-16.</w:t>
      </w:r>
    </w:p>
    <w:p w14:paraId="0265FB23" w14:textId="77777777" w:rsidR="007D0B1A" w:rsidRPr="00F95124" w:rsidRDefault="007D0B1A" w:rsidP="007D0B1A">
      <w:pPr>
        <w:pStyle w:val="literature"/>
        <w:numPr>
          <w:ilvl w:val="0"/>
          <w:numId w:val="0"/>
        </w:numPr>
        <w:tabs>
          <w:tab w:val="left" w:pos="720"/>
        </w:tabs>
        <w:spacing w:before="120"/>
        <w:ind w:left="1080"/>
        <w:jc w:val="left"/>
        <w:rPr>
          <w:sz w:val="24"/>
        </w:rPr>
      </w:pPr>
    </w:p>
    <w:p w14:paraId="1D602B3C" w14:textId="16BBBF13" w:rsidR="007D0B1A" w:rsidRPr="00F95124" w:rsidRDefault="00F95124" w:rsidP="007D0B1A">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r>
        <w:rPr>
          <w:b/>
          <w:sz w:val="24"/>
          <w14:shadow w14:blurRad="50800" w14:dist="38100" w14:dir="2700000" w14:sx="100000" w14:sy="100000" w14:kx="0" w14:ky="0" w14:algn="tl">
            <w14:srgbClr w14:val="000000">
              <w14:alpha w14:val="60000"/>
            </w14:srgbClr>
          </w14:shadow>
        </w:rPr>
        <w:t>Dec. 14-16</w:t>
      </w:r>
      <w:r w:rsidR="007D0B1A" w:rsidRPr="00F95124">
        <w:rPr>
          <w:b/>
          <w:sz w:val="24"/>
          <w14:shadow w14:blurRad="50800" w14:dist="38100" w14:dir="2700000" w14:sx="100000" w14:sy="100000" w14:kx="0" w14:ky="0" w14:algn="tl">
            <w14:srgbClr w14:val="000000">
              <w14:alpha w14:val="60000"/>
            </w14:srgbClr>
          </w14:shadow>
        </w:rPr>
        <w:tab/>
        <w:t xml:space="preserve"> “Civic Integration”: Liberal States – Illiberal Policies?</w:t>
      </w:r>
    </w:p>
    <w:p w14:paraId="0D675526" w14:textId="77777777" w:rsidR="007D0B1A" w:rsidRPr="00F95124" w:rsidRDefault="007D0B1A" w:rsidP="007D0B1A">
      <w:pPr>
        <w:pStyle w:val="literature"/>
        <w:numPr>
          <w:ilvl w:val="0"/>
          <w:numId w:val="10"/>
        </w:numPr>
        <w:tabs>
          <w:tab w:val="left" w:pos="720"/>
        </w:tabs>
        <w:spacing w:before="120"/>
        <w:jc w:val="left"/>
        <w:rPr>
          <w:rStyle w:val="HTMLCite"/>
          <w:i w:val="0"/>
          <w:iCs w:val="0"/>
          <w:sz w:val="24"/>
          <w14:shadow w14:blurRad="50800" w14:dist="38100" w14:dir="2700000" w14:sx="100000" w14:sy="100000" w14:kx="0" w14:ky="0" w14:algn="tl">
            <w14:srgbClr w14:val="000000">
              <w14:alpha w14:val="60000"/>
            </w14:srgbClr>
          </w14:shadow>
        </w:rPr>
      </w:pPr>
      <w:r w:rsidRPr="00F95124">
        <w:rPr>
          <w:rStyle w:val="HTMLCite"/>
          <w:i w:val="0"/>
          <w:sz w:val="24"/>
        </w:rPr>
        <w:t>Bauböck, Rainer &amp; Christian Joppke (2010) How Liberal Are Citizenship Tests?, EUI Working Papers – Eudo Citizenship Observatory; European University Institute, Florence.</w:t>
      </w:r>
    </w:p>
    <w:p w14:paraId="503A4DB3" w14:textId="33AA9CC9" w:rsidR="007D0B1A" w:rsidRPr="00F95124" w:rsidRDefault="00F95124" w:rsidP="00F95124">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r>
        <w:rPr>
          <w:b/>
          <w:sz w:val="24"/>
          <w14:shadow w14:blurRad="50800" w14:dist="38100" w14:dir="2700000" w14:sx="100000" w14:sy="100000" w14:kx="0" w14:ky="0" w14:algn="tl">
            <w14:srgbClr w14:val="000000">
              <w14:alpha w14:val="60000"/>
            </w14:srgbClr>
          </w14:shadow>
        </w:rPr>
        <w:t>Dec. 21-23</w:t>
      </w:r>
      <w:r w:rsidR="007D0B1A" w:rsidRPr="00F95124">
        <w:rPr>
          <w:b/>
          <w:sz w:val="24"/>
          <w14:shadow w14:blurRad="50800" w14:dist="38100" w14:dir="2700000" w14:sx="100000" w14:sy="100000" w14:kx="0" w14:ky="0" w14:algn="tl">
            <w14:srgbClr w14:val="000000">
              <w14:alpha w14:val="60000"/>
            </w14:srgbClr>
          </w14:shadow>
        </w:rPr>
        <w:t xml:space="preserve"> </w:t>
      </w:r>
      <w:r w:rsidR="007D0B1A" w:rsidRPr="00F95124">
        <w:rPr>
          <w:b/>
          <w:sz w:val="24"/>
          <w14:shadow w14:blurRad="50800" w14:dist="38100" w14:dir="2700000" w14:sx="100000" w14:sy="100000" w14:kx="0" w14:ky="0" w14:algn="tl">
            <w14:srgbClr w14:val="000000">
              <w14:alpha w14:val="60000"/>
            </w14:srgbClr>
          </w14:shadow>
        </w:rPr>
        <w:tab/>
        <w:t>‘Legitimate’ Border Controls vs Open Borders</w:t>
      </w:r>
    </w:p>
    <w:p w14:paraId="67C39D06" w14:textId="77777777" w:rsidR="007D0B1A" w:rsidRPr="00F95124" w:rsidRDefault="007D0B1A" w:rsidP="007D0B1A">
      <w:pPr>
        <w:pStyle w:val="literature"/>
        <w:numPr>
          <w:ilvl w:val="0"/>
          <w:numId w:val="10"/>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Carens, Joseph H. (1987) Aliens and Citizens: The Case for Open Borders, The Review of Politics 49 (2): 251-273</w:t>
      </w:r>
    </w:p>
    <w:p w14:paraId="566BD694" w14:textId="77777777" w:rsidR="007D0B1A" w:rsidRPr="00F95124" w:rsidRDefault="007D0B1A" w:rsidP="007D0B1A">
      <w:pPr>
        <w:pStyle w:val="literature"/>
        <w:numPr>
          <w:ilvl w:val="0"/>
          <w:numId w:val="10"/>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Abizadeh, Arash (2008) Democratic Theory and Border Coercion: No Right to Unilaterally Control Your Own Borders, Political Theory</w:t>
      </w:r>
      <w:r w:rsidRPr="00F95124">
        <w:rPr>
          <w:i/>
          <w:iCs/>
          <w:color w:val="000000"/>
          <w:sz w:val="24"/>
        </w:rPr>
        <w:t xml:space="preserve"> </w:t>
      </w:r>
      <w:r w:rsidRPr="00F95124">
        <w:rPr>
          <w:color w:val="000000"/>
          <w:sz w:val="24"/>
        </w:rPr>
        <w:t>36 (1): 37–65</w:t>
      </w:r>
    </w:p>
    <w:p w14:paraId="0213DF16" w14:textId="77777777" w:rsidR="007D0B1A" w:rsidRPr="00F95124" w:rsidRDefault="007D0B1A" w:rsidP="007D0B1A">
      <w:pPr>
        <w:numPr>
          <w:ilvl w:val="0"/>
          <w:numId w:val="10"/>
        </w:numPr>
        <w:autoSpaceDE w:val="0"/>
        <w:autoSpaceDN w:val="0"/>
        <w:adjustRightInd w:val="0"/>
        <w:rPr>
          <w:color w:val="000000"/>
        </w:rPr>
      </w:pPr>
      <w:r w:rsidRPr="00F95124">
        <w:rPr>
          <w:color w:val="000000"/>
        </w:rPr>
        <w:t xml:space="preserve">David Miller (2010) Why Immigration Controls Are Not Coercive: A Reply to </w:t>
      </w:r>
      <w:proofErr w:type="spellStart"/>
      <w:r w:rsidRPr="00F95124">
        <w:rPr>
          <w:color w:val="000000"/>
        </w:rPr>
        <w:t>Arash</w:t>
      </w:r>
      <w:proofErr w:type="spellEnd"/>
      <w:r w:rsidRPr="00F95124">
        <w:rPr>
          <w:color w:val="000000"/>
        </w:rPr>
        <w:t xml:space="preserve"> </w:t>
      </w:r>
      <w:proofErr w:type="spellStart"/>
      <w:r w:rsidRPr="00F95124">
        <w:rPr>
          <w:color w:val="000000"/>
        </w:rPr>
        <w:t>Abizadeh</w:t>
      </w:r>
      <w:proofErr w:type="spellEnd"/>
      <w:r w:rsidRPr="00F95124">
        <w:rPr>
          <w:color w:val="000000"/>
        </w:rPr>
        <w:t xml:space="preserve">, </w:t>
      </w:r>
      <w:r w:rsidRPr="00F95124">
        <w:rPr>
          <w:iCs/>
          <w:color w:val="000000"/>
        </w:rPr>
        <w:t xml:space="preserve">Political Theory </w:t>
      </w:r>
      <w:r w:rsidRPr="00F95124">
        <w:rPr>
          <w:color w:val="000000"/>
        </w:rPr>
        <w:t xml:space="preserve">38 (1) 111–20. </w:t>
      </w:r>
    </w:p>
    <w:p w14:paraId="4F61F102" w14:textId="77777777" w:rsidR="007D0B1A" w:rsidRPr="00F95124" w:rsidRDefault="007D0B1A" w:rsidP="007D0B1A">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p>
    <w:p w14:paraId="7B67C566" w14:textId="40F1A92D" w:rsidR="007D0B1A" w:rsidRPr="00F95124" w:rsidRDefault="00F95124" w:rsidP="007D0B1A">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r>
        <w:rPr>
          <w:b/>
          <w:sz w:val="24"/>
          <w14:shadow w14:blurRad="50800" w14:dist="38100" w14:dir="2700000" w14:sx="100000" w14:sy="100000" w14:kx="0" w14:ky="0" w14:algn="tl">
            <w14:srgbClr w14:val="000000">
              <w14:alpha w14:val="60000"/>
            </w14:srgbClr>
          </w14:shadow>
        </w:rPr>
        <w:t>Dec. 28-30</w:t>
      </w:r>
      <w:r w:rsidR="007D0B1A" w:rsidRPr="00F95124">
        <w:rPr>
          <w:b/>
          <w:sz w:val="24"/>
          <w14:shadow w14:blurRad="50800" w14:dist="38100" w14:dir="2700000" w14:sx="100000" w14:sy="100000" w14:kx="0" w14:ky="0" w14:algn="tl">
            <w14:srgbClr w14:val="000000">
              <w14:alpha w14:val="60000"/>
            </w14:srgbClr>
          </w14:shadow>
        </w:rPr>
        <w:tab/>
        <w:t>A Short History of EU-Turkish Relations</w:t>
      </w:r>
    </w:p>
    <w:p w14:paraId="570CCB92" w14:textId="77777777" w:rsidR="007D0B1A" w:rsidRPr="00F95124" w:rsidRDefault="007D0B1A" w:rsidP="007D0B1A">
      <w:pPr>
        <w:pStyle w:val="literature"/>
        <w:numPr>
          <w:ilvl w:val="0"/>
          <w:numId w:val="13"/>
        </w:numPr>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Morelli, Vincent (2013) European Union Enlargement: A Status Report on Turkey’s Accession Negotiations, Congressional Research Service.</w:t>
      </w:r>
    </w:p>
    <w:p w14:paraId="20EA8113" w14:textId="77777777" w:rsidR="007D0B1A" w:rsidRPr="00F95124" w:rsidRDefault="007D0B1A" w:rsidP="007D0B1A">
      <w:pPr>
        <w:pStyle w:val="literature"/>
        <w:numPr>
          <w:ilvl w:val="0"/>
          <w:numId w:val="11"/>
        </w:numPr>
        <w:tabs>
          <w:tab w:val="left" w:pos="720"/>
        </w:tabs>
        <w:spacing w:before="120"/>
        <w:jc w:val="left"/>
        <w:rPr>
          <w:rStyle w:val="HTMLCite"/>
          <w:iCs w:val="0"/>
          <w:sz w:val="24"/>
        </w:rPr>
      </w:pPr>
      <w:r w:rsidRPr="00F95124">
        <w:rPr>
          <w:sz w:val="24"/>
          <w14:shadow w14:blurRad="50800" w14:dist="38100" w14:dir="2700000" w14:sx="100000" w14:sy="100000" w14:kx="0" w14:ky="0" w14:algn="tl">
            <w14:srgbClr w14:val="000000">
              <w14:alpha w14:val="60000"/>
            </w14:srgbClr>
          </w14:shadow>
        </w:rPr>
        <w:t xml:space="preserve">Negotiating Framework EU – Turkey, October 2005 </w:t>
      </w:r>
      <w:r w:rsidRPr="00F95124">
        <w:rPr>
          <w:i/>
          <w:sz w:val="24"/>
          <w14:shadow w14:blurRad="50800" w14:dist="38100" w14:dir="2700000" w14:sx="100000" w14:sy="100000" w14:kx="0" w14:ky="0" w14:algn="tl">
            <w14:srgbClr w14:val="000000">
              <w14:alpha w14:val="60000"/>
            </w14:srgbClr>
          </w14:shadow>
        </w:rPr>
        <w:t>(</w:t>
      </w:r>
      <w:r w:rsidRPr="00F95124">
        <w:rPr>
          <w:rStyle w:val="HTMLCite"/>
          <w:sz w:val="24"/>
        </w:rPr>
        <w:t>ec.europa.</w:t>
      </w:r>
      <w:r w:rsidRPr="00F95124">
        <w:rPr>
          <w:rStyle w:val="HTMLCite"/>
          <w:bCs/>
          <w:sz w:val="24"/>
        </w:rPr>
        <w:t>eu</w:t>
      </w:r>
      <w:r w:rsidRPr="00F95124">
        <w:rPr>
          <w:rStyle w:val="HTMLCite"/>
          <w:sz w:val="24"/>
        </w:rPr>
        <w:t>/enlargement/pdf/</w:t>
      </w:r>
      <w:r w:rsidRPr="00F95124">
        <w:rPr>
          <w:rStyle w:val="HTMLCite"/>
          <w:bCs/>
          <w:sz w:val="24"/>
        </w:rPr>
        <w:t>turkey</w:t>
      </w:r>
      <w:r w:rsidRPr="00F95124">
        <w:rPr>
          <w:rStyle w:val="HTMLCite"/>
          <w:sz w:val="24"/>
        </w:rPr>
        <w:t>/st20002_05_tr_framedoc_en.pdf)</w:t>
      </w:r>
    </w:p>
    <w:p w14:paraId="5F6671FE" w14:textId="77777777" w:rsidR="007D0B1A" w:rsidRPr="00F95124" w:rsidRDefault="007D0B1A" w:rsidP="007D0B1A">
      <w:pPr>
        <w:pStyle w:val="literature"/>
        <w:numPr>
          <w:ilvl w:val="0"/>
          <w:numId w:val="11"/>
        </w:numPr>
        <w:tabs>
          <w:tab w:val="left" w:pos="720"/>
        </w:tabs>
        <w:spacing w:before="120"/>
        <w:jc w:val="left"/>
        <w:rPr>
          <w:rStyle w:val="HTMLCite"/>
          <w:b/>
          <w:iCs w:val="0"/>
          <w:sz w:val="24"/>
        </w:rPr>
      </w:pPr>
      <w:r w:rsidRPr="00F95124">
        <w:rPr>
          <w:rStyle w:val="HTMLCite"/>
          <w:b/>
          <w:sz w:val="24"/>
        </w:rPr>
        <w:t xml:space="preserve">Further readings TBA </w:t>
      </w:r>
    </w:p>
    <w:p w14:paraId="78301109" w14:textId="77777777" w:rsidR="007D0B1A" w:rsidRPr="00F95124" w:rsidRDefault="007D0B1A" w:rsidP="007D0B1A">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p>
    <w:p w14:paraId="670A7875" w14:textId="595BBF90" w:rsidR="007D0B1A" w:rsidRPr="00F95124" w:rsidRDefault="00F95124" w:rsidP="007D0B1A">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r>
        <w:rPr>
          <w:b/>
          <w:sz w:val="24"/>
          <w14:shadow w14:blurRad="50800" w14:dist="38100" w14:dir="2700000" w14:sx="100000" w14:sy="100000" w14:kx="0" w14:ky="0" w14:algn="tl">
            <w14:srgbClr w14:val="000000">
              <w14:alpha w14:val="60000"/>
            </w14:srgbClr>
          </w14:shadow>
        </w:rPr>
        <w:t>Jan. 4-6</w:t>
      </w:r>
      <w:r w:rsidR="007D0B1A" w:rsidRPr="00F95124">
        <w:rPr>
          <w:b/>
          <w:sz w:val="24"/>
          <w14:shadow w14:blurRad="50800" w14:dist="38100" w14:dir="2700000" w14:sx="100000" w14:sy="100000" w14:kx="0" w14:ky="0" w14:algn="tl">
            <w14:srgbClr w14:val="000000">
              <w14:alpha w14:val="60000"/>
            </w14:srgbClr>
          </w14:shadow>
        </w:rPr>
        <w:tab/>
        <w:t>International Migration: The Case of Turkey</w:t>
      </w:r>
    </w:p>
    <w:p w14:paraId="17BC19D1" w14:textId="77777777" w:rsidR="007D0B1A" w:rsidRPr="00F95124" w:rsidRDefault="007D0B1A" w:rsidP="007D0B1A">
      <w:pPr>
        <w:pStyle w:val="literature"/>
        <w:numPr>
          <w:ilvl w:val="0"/>
          <w:numId w:val="12"/>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İçduygu, Ahmet &amp; Damla B. Aksel (2013) Turkish Migration Policies: A Critical Historical Perspective, Perceptions XVIII (3) 167—190.</w:t>
      </w:r>
    </w:p>
    <w:p w14:paraId="26371D53" w14:textId="77777777" w:rsidR="007D0B1A" w:rsidRPr="00F95124" w:rsidRDefault="007D0B1A" w:rsidP="007D0B1A">
      <w:pPr>
        <w:pStyle w:val="literature"/>
        <w:numPr>
          <w:ilvl w:val="0"/>
          <w:numId w:val="12"/>
        </w:numPr>
        <w:tabs>
          <w:tab w:val="left" w:pos="720"/>
        </w:tabs>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Guest Lecture by Gül Çatır: “</w:t>
      </w:r>
      <w:r w:rsidR="00000DDC" w:rsidRPr="00F95124">
        <w:rPr>
          <w:color w:val="222222"/>
          <w:sz w:val="24"/>
          <w:shd w:val="clear" w:color="auto" w:fill="FFFFFF"/>
        </w:rPr>
        <w:t>A Study of Migration Policies and Practices in Turkey: Reflecting on Membership and Sovereignty through Law”</w:t>
      </w:r>
    </w:p>
    <w:p w14:paraId="2B6CCE0C" w14:textId="77777777" w:rsidR="00000DDC" w:rsidRPr="00F95124" w:rsidRDefault="00000DDC" w:rsidP="00000DDC">
      <w:pPr>
        <w:pStyle w:val="literature"/>
        <w:numPr>
          <w:ilvl w:val="0"/>
          <w:numId w:val="12"/>
        </w:numPr>
        <w:spacing w:before="120"/>
        <w:rPr>
          <w:b/>
          <w:sz w:val="24"/>
          <w14:shadow w14:blurRad="50800" w14:dist="38100" w14:dir="2700000" w14:sx="100000" w14:sy="100000" w14:kx="0" w14:ky="0" w14:algn="tl">
            <w14:srgbClr w14:val="000000">
              <w14:alpha w14:val="60000"/>
            </w14:srgbClr>
          </w14:shadow>
        </w:rPr>
      </w:pPr>
      <w:proofErr w:type="spellStart"/>
      <w:r w:rsidRPr="00F95124">
        <w:rPr>
          <w:noProof w:val="0"/>
          <w:color w:val="333333"/>
          <w:sz w:val="24"/>
          <w:shd w:val="clear" w:color="auto" w:fill="FFFFFF"/>
        </w:rPr>
        <w:t>Feyzi</w:t>
      </w:r>
      <w:proofErr w:type="spellEnd"/>
      <w:r w:rsidRPr="00F95124">
        <w:rPr>
          <w:noProof w:val="0"/>
          <w:color w:val="333333"/>
          <w:sz w:val="24"/>
          <w:shd w:val="clear" w:color="auto" w:fill="FFFFFF"/>
        </w:rPr>
        <w:t xml:space="preserve"> </w:t>
      </w:r>
      <w:proofErr w:type="spellStart"/>
      <w:r w:rsidRPr="00F95124">
        <w:rPr>
          <w:noProof w:val="0"/>
          <w:color w:val="333333"/>
          <w:sz w:val="24"/>
          <w:shd w:val="clear" w:color="auto" w:fill="FFFFFF"/>
        </w:rPr>
        <w:t>Baban</w:t>
      </w:r>
      <w:proofErr w:type="spellEnd"/>
      <w:r w:rsidRPr="00F95124">
        <w:rPr>
          <w:noProof w:val="0"/>
          <w:color w:val="333333"/>
          <w:sz w:val="24"/>
          <w:shd w:val="clear" w:color="auto" w:fill="FFFFFF"/>
        </w:rPr>
        <w:t xml:space="preserve">, Suzan </w:t>
      </w:r>
      <w:proofErr w:type="spellStart"/>
      <w:r w:rsidRPr="00F95124">
        <w:rPr>
          <w:noProof w:val="0"/>
          <w:color w:val="333333"/>
          <w:sz w:val="24"/>
          <w:shd w:val="clear" w:color="auto" w:fill="FFFFFF"/>
        </w:rPr>
        <w:t>Ilcan</w:t>
      </w:r>
      <w:proofErr w:type="spellEnd"/>
      <w:r w:rsidRPr="00F95124">
        <w:rPr>
          <w:noProof w:val="0"/>
          <w:color w:val="333333"/>
          <w:sz w:val="24"/>
          <w:shd w:val="clear" w:color="auto" w:fill="FFFFFF"/>
        </w:rPr>
        <w:t xml:space="preserve"> &amp; Kim </w:t>
      </w:r>
      <w:proofErr w:type="spellStart"/>
      <w:r w:rsidRPr="00F95124">
        <w:rPr>
          <w:noProof w:val="0"/>
          <w:color w:val="333333"/>
          <w:sz w:val="24"/>
          <w:shd w:val="clear" w:color="auto" w:fill="FFFFFF"/>
        </w:rPr>
        <w:t>Rygiel</w:t>
      </w:r>
      <w:proofErr w:type="spellEnd"/>
      <w:r w:rsidRPr="00F95124">
        <w:rPr>
          <w:noProof w:val="0"/>
          <w:color w:val="333333"/>
          <w:sz w:val="24"/>
          <w:shd w:val="clear" w:color="auto" w:fill="FFFFFF"/>
        </w:rPr>
        <w:t xml:space="preserve"> (2017) Syrian refugees in Turkey: pathways to </w:t>
      </w:r>
      <w:proofErr w:type="spellStart"/>
      <w:r w:rsidRPr="00F95124">
        <w:rPr>
          <w:noProof w:val="0"/>
          <w:color w:val="333333"/>
          <w:sz w:val="24"/>
          <w:shd w:val="clear" w:color="auto" w:fill="FFFFFF"/>
        </w:rPr>
        <w:t>precarity</w:t>
      </w:r>
      <w:proofErr w:type="spellEnd"/>
      <w:r w:rsidRPr="00F95124">
        <w:rPr>
          <w:noProof w:val="0"/>
          <w:color w:val="333333"/>
          <w:sz w:val="24"/>
          <w:shd w:val="clear" w:color="auto" w:fill="FFFFFF"/>
        </w:rPr>
        <w:t>, differential inclusion, and negotiated citizenship rights, Journal of Ethnic and Migration Studies, 43:1, 41-57, DOI: </w:t>
      </w:r>
      <w:hyperlink r:id="rId8" w:history="1">
        <w:r w:rsidRPr="00F95124">
          <w:rPr>
            <w:noProof w:val="0"/>
            <w:color w:val="333333"/>
            <w:sz w:val="24"/>
            <w:u w:val="single"/>
          </w:rPr>
          <w:t>10.1080/1369183X.2016.1192996</w:t>
        </w:r>
      </w:hyperlink>
    </w:p>
    <w:p w14:paraId="29D11D2E" w14:textId="77777777" w:rsidR="007D0B1A" w:rsidRPr="00F95124" w:rsidRDefault="007D0B1A" w:rsidP="00175610">
      <w:pPr>
        <w:pStyle w:val="literature"/>
        <w:numPr>
          <w:ilvl w:val="0"/>
          <w:numId w:val="0"/>
        </w:numPr>
        <w:spacing w:before="120"/>
        <w:rPr>
          <w:b/>
          <w:sz w:val="24"/>
          <w14:shadow w14:blurRad="50800" w14:dist="38100" w14:dir="2700000" w14:sx="100000" w14:sy="100000" w14:kx="0" w14:ky="0" w14:algn="tl">
            <w14:srgbClr w14:val="000000">
              <w14:alpha w14:val="60000"/>
            </w14:srgbClr>
          </w14:shadow>
        </w:rPr>
      </w:pPr>
    </w:p>
    <w:p w14:paraId="56593BB6" w14:textId="7C391134" w:rsidR="007D0B1A" w:rsidRPr="00F95124" w:rsidRDefault="00F95124" w:rsidP="007D0B1A">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r>
        <w:rPr>
          <w:b/>
          <w:sz w:val="24"/>
          <w14:shadow w14:blurRad="50800" w14:dist="38100" w14:dir="2700000" w14:sx="100000" w14:sy="100000" w14:kx="0" w14:ky="0" w14:algn="tl">
            <w14:srgbClr w14:val="000000">
              <w14:alpha w14:val="60000"/>
            </w14:srgbClr>
          </w14:shadow>
        </w:rPr>
        <w:t>Jan. 11-13</w:t>
      </w:r>
      <w:r>
        <w:rPr>
          <w:b/>
          <w:sz w:val="24"/>
          <w14:shadow w14:blurRad="50800" w14:dist="38100" w14:dir="2700000" w14:sx="100000" w14:sy="100000" w14:kx="0" w14:ky="0" w14:algn="tl">
            <w14:srgbClr w14:val="000000">
              <w14:alpha w14:val="60000"/>
            </w14:srgbClr>
          </w14:shadow>
        </w:rPr>
        <w:tab/>
      </w:r>
      <w:r w:rsidR="007D0B1A" w:rsidRPr="00F95124">
        <w:rPr>
          <w:b/>
          <w:sz w:val="24"/>
          <w14:shadow w14:blurRad="50800" w14:dist="38100" w14:dir="2700000" w14:sx="100000" w14:sy="100000" w14:kx="0" w14:ky="0" w14:algn="tl">
            <w14:srgbClr w14:val="000000">
              <w14:alpha w14:val="60000"/>
            </w14:srgbClr>
          </w14:shadow>
        </w:rPr>
        <w:tab/>
        <w:t>International Migration &amp; EU-TR Relations (II)</w:t>
      </w:r>
    </w:p>
    <w:p w14:paraId="38549254" w14:textId="77777777" w:rsidR="007D0B1A" w:rsidRPr="00F95124" w:rsidRDefault="007D0B1A" w:rsidP="007D0B1A">
      <w:pPr>
        <w:numPr>
          <w:ilvl w:val="0"/>
          <w:numId w:val="12"/>
        </w:numPr>
        <w:autoSpaceDE w:val="0"/>
        <w:autoSpaceDN w:val="0"/>
        <w:adjustRightInd w:val="0"/>
        <w:rPr>
          <w:color w:val="000000"/>
        </w:rPr>
      </w:pPr>
      <w:r w:rsidRPr="00F95124">
        <w:rPr>
          <w:b/>
          <w:i/>
          <w14:shadow w14:blurRad="50800" w14:dist="38100" w14:dir="2700000" w14:sx="100000" w14:sy="100000" w14:kx="0" w14:ky="0" w14:algn="tl">
            <w14:srgbClr w14:val="000000">
              <w14:alpha w14:val="60000"/>
            </w14:srgbClr>
          </w14:shadow>
        </w:rPr>
        <w:t xml:space="preserve">Collet, Elizabeth (2017) </w:t>
      </w:r>
      <w:r w:rsidRPr="00F95124">
        <w:rPr>
          <w:b/>
          <w:bCs/>
          <w:i/>
          <w:color w:val="333333"/>
        </w:rPr>
        <w:t xml:space="preserve">The Paradox of the EU-Turkey Refugee Deal </w:t>
      </w:r>
      <w:hyperlink r:id="rId9" w:history="1">
        <w:r w:rsidRPr="00F95124">
          <w:rPr>
            <w:rStyle w:val="Hyperlink"/>
            <w14:shadow w14:blurRad="50800" w14:dist="38100" w14:dir="2700000" w14:sx="100000" w14:sy="100000" w14:kx="0" w14:ky="0" w14:algn="tl">
              <w14:srgbClr w14:val="000000">
                <w14:alpha w14:val="60000"/>
              </w14:srgbClr>
            </w14:shadow>
          </w:rPr>
          <w:t>https://www.migrationpolicy.org/news/paradox-eu-turkey-refugee-deal</w:t>
        </w:r>
      </w:hyperlink>
      <w:r w:rsidRPr="00F95124">
        <w:rPr>
          <w:color w:val="000000"/>
        </w:rPr>
        <w:t xml:space="preserve"> </w:t>
      </w:r>
    </w:p>
    <w:p w14:paraId="1F7E78DC" w14:textId="77777777" w:rsidR="007D0B1A" w:rsidRPr="00F95124" w:rsidRDefault="007D0B1A" w:rsidP="007D0B1A">
      <w:pPr>
        <w:autoSpaceDE w:val="0"/>
        <w:autoSpaceDN w:val="0"/>
        <w:adjustRightInd w:val="0"/>
        <w:ind w:left="360"/>
        <w:rPr>
          <w:color w:val="000000"/>
        </w:rPr>
      </w:pPr>
    </w:p>
    <w:p w14:paraId="51EF4951" w14:textId="77777777" w:rsidR="007D0B1A" w:rsidRPr="00F95124" w:rsidRDefault="007D0B1A" w:rsidP="007D0B1A">
      <w:pPr>
        <w:numPr>
          <w:ilvl w:val="0"/>
          <w:numId w:val="12"/>
        </w:numPr>
        <w:autoSpaceDE w:val="0"/>
        <w:autoSpaceDN w:val="0"/>
        <w:adjustRightInd w:val="0"/>
        <w:rPr>
          <w:color w:val="000000"/>
        </w:rPr>
      </w:pPr>
      <w:r w:rsidRPr="00F95124">
        <w:rPr>
          <w:color w:val="000000"/>
        </w:rPr>
        <w:t xml:space="preserve">European Stability Initiative (2015) </w:t>
      </w:r>
      <w:r w:rsidRPr="00F95124">
        <w:rPr>
          <w:bCs/>
          <w:color w:val="000000"/>
        </w:rPr>
        <w:t xml:space="preserve">The devil in the detail Why the EU-Turkey deal will fail and how to get to a deal that </w:t>
      </w:r>
      <w:proofErr w:type="gramStart"/>
      <w:r w:rsidRPr="00F95124">
        <w:rPr>
          <w:bCs/>
          <w:color w:val="000000"/>
        </w:rPr>
        <w:t xml:space="preserve">works  </w:t>
      </w:r>
      <w:proofErr w:type="gramEnd"/>
      <w:r w:rsidRPr="00F95124">
        <w:rPr>
          <w:bCs/>
          <w:color w:val="000000"/>
        </w:rPr>
        <w:br/>
        <w:t>(</w:t>
      </w:r>
      <w:hyperlink r:id="rId10" w:history="1">
        <w:r w:rsidRPr="00F95124">
          <w:rPr>
            <w:rStyle w:val="Hyperlink"/>
            <w:bCs/>
          </w:rPr>
          <w:t>http://www.esiweb.org/rumeliobserver/2015/11/29/the-devil-in-the-detail-eu-turkey-refugee-summit-in-november-2015/</w:t>
        </w:r>
      </w:hyperlink>
      <w:r w:rsidRPr="00F95124">
        <w:rPr>
          <w:bCs/>
          <w:color w:val="000000"/>
        </w:rPr>
        <w:t>)</w:t>
      </w:r>
    </w:p>
    <w:p w14:paraId="63DC8782" w14:textId="77777777" w:rsidR="007D0B1A" w:rsidRPr="00F95124" w:rsidRDefault="007D0B1A" w:rsidP="007D0B1A">
      <w:pPr>
        <w:pStyle w:val="literature"/>
        <w:numPr>
          <w:ilvl w:val="0"/>
          <w:numId w:val="14"/>
        </w:numPr>
        <w:spacing w:before="120"/>
        <w:ind w:left="108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European Stability Inititative (2018) Refugees and asylum in the Aegean: The impact of the EU-Turkey statement</w:t>
      </w:r>
    </w:p>
    <w:p w14:paraId="1E477353" w14:textId="77777777" w:rsidR="007D0B1A" w:rsidRPr="00F95124" w:rsidRDefault="00175610" w:rsidP="007D0B1A">
      <w:pPr>
        <w:pStyle w:val="literature"/>
        <w:numPr>
          <w:ilvl w:val="0"/>
          <w:numId w:val="0"/>
        </w:numPr>
        <w:spacing w:before="120"/>
        <w:ind w:left="1080"/>
        <w:rPr>
          <w:b/>
          <w:sz w:val="24"/>
          <w14:shadow w14:blurRad="50800" w14:dist="38100" w14:dir="2700000" w14:sx="100000" w14:sy="100000" w14:kx="0" w14:ky="0" w14:algn="tl">
            <w14:srgbClr w14:val="000000">
              <w14:alpha w14:val="60000"/>
            </w14:srgbClr>
          </w14:shadow>
        </w:rPr>
      </w:pPr>
      <w:hyperlink r:id="rId11" w:history="1">
        <w:r w:rsidR="007D0B1A" w:rsidRPr="00F95124">
          <w:rPr>
            <w:rStyle w:val="Hyperlink"/>
            <w:sz w:val="24"/>
            <w14:shadow w14:blurRad="50800" w14:dist="38100" w14:dir="2700000" w14:sx="100000" w14:sy="100000" w14:kx="0" w14:ky="0" w14:algn="tl">
              <w14:srgbClr w14:val="000000">
                <w14:alpha w14:val="60000"/>
              </w14:srgbClr>
            </w14:shadow>
          </w:rPr>
          <w:t>http://www.esiweb.org/pdf/ESI%20core%20facts%20-%20Greece%20Refugees%20Asylum%20-%2026%20January%202018.pdf</w:t>
        </w:r>
      </w:hyperlink>
    </w:p>
    <w:p w14:paraId="361FFC9D" w14:textId="77777777" w:rsidR="00192F2E" w:rsidRPr="00F95124" w:rsidRDefault="00192F2E" w:rsidP="00192F2E">
      <w:pPr>
        <w:numPr>
          <w:ilvl w:val="0"/>
          <w:numId w:val="12"/>
        </w:numPr>
        <w:autoSpaceDE w:val="0"/>
        <w:autoSpaceDN w:val="0"/>
        <w:adjustRightInd w:val="0"/>
        <w:rPr>
          <w:color w:val="000000"/>
        </w:rPr>
      </w:pPr>
      <w:proofErr w:type="spellStart"/>
      <w:r w:rsidRPr="00F95124">
        <w:rPr>
          <w:color w:val="000000"/>
        </w:rPr>
        <w:t>Kirişci</w:t>
      </w:r>
      <w:proofErr w:type="spellEnd"/>
      <w:r w:rsidRPr="00F95124">
        <w:rPr>
          <w:color w:val="000000"/>
        </w:rPr>
        <w:t>, K. &amp; E. Ferris (2015) Not Likely to Go Home: Syrian Refugees and the Challenges to Turkey and the International Community, Turkey Project Policy Paper 7, Brookings Institution, Washington DC.</w:t>
      </w:r>
      <w:r w:rsidRPr="00F95124">
        <w:rPr>
          <w:b/>
          <w:bCs/>
        </w:rPr>
        <w:t xml:space="preserve"> </w:t>
      </w:r>
    </w:p>
    <w:p w14:paraId="042AD520" w14:textId="77777777" w:rsidR="007D0B1A" w:rsidRPr="00F95124" w:rsidRDefault="007D0B1A" w:rsidP="007D0B1A">
      <w:pPr>
        <w:pStyle w:val="Heading1"/>
        <w:numPr>
          <w:ilvl w:val="0"/>
          <w:numId w:val="14"/>
        </w:numPr>
        <w:shd w:val="clear" w:color="auto" w:fill="FFFFFF"/>
        <w:ind w:left="1080"/>
        <w:jc w:val="left"/>
        <w:rPr>
          <w:i w:val="0"/>
          <w:color w:val="14262B"/>
          <w:sz w:val="24"/>
          <w:szCs w:val="24"/>
          <w:lang w:val="en"/>
        </w:rPr>
      </w:pPr>
      <w:r w:rsidRPr="00F95124">
        <w:rPr>
          <w:b w:val="0"/>
          <w:i w:val="0"/>
          <w:sz w:val="24"/>
          <w:szCs w:val="24"/>
          <w14:shadow w14:blurRad="50800" w14:dist="38100" w14:dir="2700000" w14:sx="100000" w14:sy="100000" w14:kx="0" w14:ky="0" w14:algn="tl">
            <w14:srgbClr w14:val="000000">
              <w14:alpha w14:val="60000"/>
            </w14:srgbClr>
          </w14:shadow>
        </w:rPr>
        <w:t xml:space="preserve">Int. Crisis Group (2018) </w:t>
      </w:r>
      <w:r w:rsidRPr="00F95124">
        <w:rPr>
          <w:i w:val="0"/>
          <w:color w:val="14262B"/>
          <w:sz w:val="24"/>
          <w:szCs w:val="24"/>
          <w:lang w:val="en"/>
        </w:rPr>
        <w:t>Turkey’s Syrian Refugees: Defusing Metropolitan Tensions, Report 248</w:t>
      </w:r>
    </w:p>
    <w:p w14:paraId="7A3EE80A" w14:textId="77777777" w:rsidR="007D0B1A" w:rsidRPr="00F95124" w:rsidRDefault="00175610" w:rsidP="007D0B1A">
      <w:pPr>
        <w:pStyle w:val="literature"/>
        <w:numPr>
          <w:ilvl w:val="0"/>
          <w:numId w:val="0"/>
        </w:numPr>
        <w:spacing w:before="120"/>
        <w:ind w:left="1080"/>
        <w:rPr>
          <w:b/>
          <w:sz w:val="24"/>
          <w14:shadow w14:blurRad="50800" w14:dist="38100" w14:dir="2700000" w14:sx="100000" w14:sy="100000" w14:kx="0" w14:ky="0" w14:algn="tl">
            <w14:srgbClr w14:val="000000">
              <w14:alpha w14:val="60000"/>
            </w14:srgbClr>
          </w14:shadow>
        </w:rPr>
      </w:pPr>
      <w:hyperlink r:id="rId12" w:history="1">
        <w:r w:rsidR="007D0B1A" w:rsidRPr="00F95124">
          <w:rPr>
            <w:rStyle w:val="Hyperlink"/>
            <w:sz w:val="24"/>
            <w14:shadow w14:blurRad="50800" w14:dist="38100" w14:dir="2700000" w14:sx="100000" w14:sy="100000" w14:kx="0" w14:ky="0" w14:algn="tl">
              <w14:srgbClr w14:val="000000">
                <w14:alpha w14:val="60000"/>
              </w14:srgbClr>
            </w14:shadow>
          </w:rPr>
          <w:t>https://www.crisisgroup.org/europe-central-asia/western-europemediterranean/turkey/248-turkeys-syrian-refugees-defusing-metropolitan-tensions</w:t>
        </w:r>
      </w:hyperlink>
    </w:p>
    <w:p w14:paraId="10BC9467" w14:textId="77777777" w:rsidR="00175610" w:rsidRPr="00F95124" w:rsidRDefault="00175610" w:rsidP="007D0B1A">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p>
    <w:p w14:paraId="78ACE709" w14:textId="207A2364" w:rsidR="007D0B1A" w:rsidRPr="00F95124" w:rsidRDefault="00555F8B" w:rsidP="007D0B1A">
      <w:pPr>
        <w:pStyle w:val="literature"/>
        <w:numPr>
          <w:ilvl w:val="0"/>
          <w:numId w:val="0"/>
        </w:numPr>
        <w:spacing w:before="120"/>
        <w:ind w:left="360"/>
        <w:rPr>
          <w:b/>
          <w:sz w:val="24"/>
          <w14:shadow w14:blurRad="50800" w14:dist="38100" w14:dir="2700000" w14:sx="100000" w14:sy="100000" w14:kx="0" w14:ky="0" w14:algn="tl">
            <w14:srgbClr w14:val="000000">
              <w14:alpha w14:val="60000"/>
            </w14:srgbClr>
          </w14:shadow>
        </w:rPr>
      </w:pPr>
      <w:r>
        <w:rPr>
          <w:b/>
          <w:sz w:val="24"/>
          <w14:shadow w14:blurRad="50800" w14:dist="38100" w14:dir="2700000" w14:sx="100000" w14:sy="100000" w14:kx="0" w14:ky="0" w14:algn="tl">
            <w14:srgbClr w14:val="000000">
              <w14:alpha w14:val="60000"/>
            </w14:srgbClr>
          </w14:shadow>
        </w:rPr>
        <w:t>Jan. 18-20</w:t>
      </w:r>
      <w:r w:rsidR="007D0B1A" w:rsidRPr="00F95124">
        <w:rPr>
          <w:b/>
          <w:sz w:val="24"/>
          <w14:shadow w14:blurRad="50800" w14:dist="38100" w14:dir="2700000" w14:sx="100000" w14:sy="100000" w14:kx="0" w14:ky="0" w14:algn="tl">
            <w14:srgbClr w14:val="000000">
              <w14:alpha w14:val="60000"/>
            </w14:srgbClr>
          </w14:shadow>
        </w:rPr>
        <w:tab/>
        <w:t xml:space="preserve"> </w:t>
      </w:r>
      <w:r w:rsidR="0041590C">
        <w:rPr>
          <w:b/>
          <w:sz w:val="24"/>
          <w14:shadow w14:blurRad="50800" w14:dist="38100" w14:dir="2700000" w14:sx="100000" w14:sy="100000" w14:kx="0" w14:ky="0" w14:algn="tl">
            <w14:srgbClr w14:val="000000">
              <w14:alpha w14:val="60000"/>
            </w14:srgbClr>
          </w14:shadow>
        </w:rPr>
        <w:tab/>
      </w:r>
      <w:bookmarkStart w:id="0" w:name="_GoBack"/>
      <w:bookmarkEnd w:id="0"/>
      <w:r w:rsidR="007D0B1A" w:rsidRPr="00F95124">
        <w:rPr>
          <w:b/>
          <w:sz w:val="24"/>
          <w14:shadow w14:blurRad="50800" w14:dist="38100" w14:dir="2700000" w14:sx="100000" w14:sy="100000" w14:kx="0" w14:ky="0" w14:algn="tl">
            <w14:srgbClr w14:val="000000">
              <w14:alpha w14:val="60000"/>
            </w14:srgbClr>
          </w14:shadow>
        </w:rPr>
        <w:t>Beyond Nationalism in Migration Studies</w:t>
      </w:r>
    </w:p>
    <w:p w14:paraId="1C283929" w14:textId="77777777" w:rsidR="007D0B1A" w:rsidRDefault="007D0B1A" w:rsidP="007D0B1A">
      <w:pPr>
        <w:pStyle w:val="literature"/>
        <w:numPr>
          <w:ilvl w:val="0"/>
          <w:numId w:val="12"/>
        </w:numPr>
        <w:spacing w:before="120"/>
        <w:rPr>
          <w:sz w:val="24"/>
          <w14:shadow w14:blurRad="50800" w14:dist="38100" w14:dir="2700000" w14:sx="100000" w14:sy="100000" w14:kx="0" w14:ky="0" w14:algn="tl">
            <w14:srgbClr w14:val="000000">
              <w14:alpha w14:val="60000"/>
            </w14:srgbClr>
          </w14:shadow>
        </w:rPr>
      </w:pPr>
      <w:r w:rsidRPr="00F95124">
        <w:rPr>
          <w:sz w:val="24"/>
          <w14:shadow w14:blurRad="50800" w14:dist="38100" w14:dir="2700000" w14:sx="100000" w14:sy="100000" w14:kx="0" w14:ky="0" w14:algn="tl">
            <w14:srgbClr w14:val="000000">
              <w14:alpha w14:val="60000"/>
            </w14:srgbClr>
          </w14:shadow>
        </w:rPr>
        <w:t>Wimmer, Andreas &amp; Nina Glick-Schiller (2002) Methodological Nationalism and Beyond: nation-state building, migration and the social sciences, Global Networks 2 (4): 301-334</w:t>
      </w:r>
    </w:p>
    <w:p w14:paraId="0BCA9391" w14:textId="77777777" w:rsidR="0041590C" w:rsidRDefault="0041590C" w:rsidP="0041590C">
      <w:pPr>
        <w:pStyle w:val="literature"/>
        <w:numPr>
          <w:ilvl w:val="0"/>
          <w:numId w:val="0"/>
        </w:numPr>
        <w:spacing w:before="120"/>
        <w:ind w:left="1080" w:hanging="360"/>
        <w:rPr>
          <w:sz w:val="24"/>
          <w14:shadow w14:blurRad="50800" w14:dist="38100" w14:dir="2700000" w14:sx="100000" w14:sy="100000" w14:kx="0" w14:ky="0" w14:algn="tl">
            <w14:srgbClr w14:val="000000">
              <w14:alpha w14:val="60000"/>
            </w14:srgbClr>
          </w14:shadow>
        </w:rPr>
      </w:pPr>
    </w:p>
    <w:p w14:paraId="758BCA5C" w14:textId="77777777" w:rsidR="0041590C" w:rsidRDefault="0041590C" w:rsidP="0041590C">
      <w:pPr>
        <w:pStyle w:val="literature"/>
        <w:numPr>
          <w:ilvl w:val="0"/>
          <w:numId w:val="0"/>
        </w:numPr>
        <w:spacing w:before="120"/>
        <w:ind w:left="1080" w:hanging="360"/>
        <w:rPr>
          <w:sz w:val="24"/>
          <w14:shadow w14:blurRad="50800" w14:dist="38100" w14:dir="2700000" w14:sx="100000" w14:sy="100000" w14:kx="0" w14:ky="0" w14:algn="tl">
            <w14:srgbClr w14:val="000000">
              <w14:alpha w14:val="60000"/>
            </w14:srgbClr>
          </w14:shadow>
        </w:rPr>
      </w:pPr>
    </w:p>
    <w:p w14:paraId="0EDF1D77" w14:textId="77777777" w:rsidR="0041590C" w:rsidRPr="00F95124" w:rsidRDefault="0041590C" w:rsidP="0041590C">
      <w:pPr>
        <w:pStyle w:val="literature"/>
        <w:numPr>
          <w:ilvl w:val="0"/>
          <w:numId w:val="0"/>
        </w:numPr>
        <w:spacing w:before="120"/>
        <w:ind w:left="1080" w:hanging="360"/>
        <w:rPr>
          <w:sz w:val="24"/>
          <w14:shadow w14:blurRad="50800" w14:dist="38100" w14:dir="2700000" w14:sx="100000" w14:sy="100000" w14:kx="0" w14:ky="0" w14:algn="tl">
            <w14:srgbClr w14:val="000000">
              <w14:alpha w14:val="60000"/>
            </w14:srgbClr>
          </w14:shadow>
        </w:rPr>
      </w:pPr>
    </w:p>
    <w:p w14:paraId="4E259B28" w14:textId="77777777" w:rsidR="007D0B1A" w:rsidRPr="00F95124" w:rsidRDefault="007D0B1A" w:rsidP="007D0B1A">
      <w:pPr>
        <w:pStyle w:val="literature"/>
        <w:numPr>
          <w:ilvl w:val="0"/>
          <w:numId w:val="0"/>
        </w:numPr>
        <w:tabs>
          <w:tab w:val="left" w:pos="720"/>
        </w:tabs>
        <w:spacing w:before="120"/>
        <w:ind w:left="360"/>
        <w:rPr>
          <w:sz w:val="24"/>
          <w14:shadow w14:blurRad="50800" w14:dist="38100" w14:dir="2700000" w14:sx="100000" w14:sy="100000" w14:kx="0" w14:ky="0" w14:algn="tl">
            <w14:srgbClr w14:val="000000">
              <w14:alpha w14:val="60000"/>
            </w14:srgbClr>
          </w14:shadow>
        </w:rPr>
      </w:pPr>
    </w:p>
    <w:p w14:paraId="022CCB5A" w14:textId="77777777" w:rsidR="007D0B1A" w:rsidRPr="00F95124" w:rsidRDefault="007D0B1A" w:rsidP="007D0B1A">
      <w:pPr>
        <w:pStyle w:val="literature"/>
        <w:numPr>
          <w:ilvl w:val="0"/>
          <w:numId w:val="0"/>
        </w:numPr>
        <w:tabs>
          <w:tab w:val="left" w:pos="720"/>
        </w:tabs>
        <w:spacing w:before="120"/>
        <w:ind w:left="1080"/>
        <w:rPr>
          <w:b/>
          <w:sz w:val="24"/>
          <w14:shadow w14:blurRad="50800" w14:dist="38100" w14:dir="2700000" w14:sx="100000" w14:sy="100000" w14:kx="0" w14:ky="0" w14:algn="tl">
            <w14:srgbClr w14:val="000000">
              <w14:alpha w14:val="60000"/>
            </w14:srgbClr>
          </w14:shadow>
        </w:rPr>
      </w:pPr>
    </w:p>
    <w:p w14:paraId="0B81DBC5" w14:textId="77777777" w:rsidR="00F64D08" w:rsidRPr="00F95124" w:rsidRDefault="00F64D08"/>
    <w:sectPr w:rsidR="00F64D08" w:rsidRPr="00F95124">
      <w:pgSz w:w="11906" w:h="16838"/>
      <w:pgMar w:top="1247"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JansonText-Roman">
    <w:altName w:val="Batang"/>
    <w:panose1 w:val="00000000000000000000"/>
    <w:charset w:val="81"/>
    <w:family w:val="auto"/>
    <w:notTrueType/>
    <w:pitch w:val="default"/>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04B7"/>
    <w:multiLevelType w:val="hybridMultilevel"/>
    <w:tmpl w:val="433809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CF402B"/>
    <w:multiLevelType w:val="hybridMultilevel"/>
    <w:tmpl w:val="FA181C1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
    <w:nsid w:val="1A9F7CC7"/>
    <w:multiLevelType w:val="hybridMultilevel"/>
    <w:tmpl w:val="56C67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155020"/>
    <w:multiLevelType w:val="hybridMultilevel"/>
    <w:tmpl w:val="3B386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FC65A2"/>
    <w:multiLevelType w:val="hybridMultilevel"/>
    <w:tmpl w:val="A1D8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703115"/>
    <w:multiLevelType w:val="hybridMultilevel"/>
    <w:tmpl w:val="5ECC4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B2713B"/>
    <w:multiLevelType w:val="hybridMultilevel"/>
    <w:tmpl w:val="68C82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4A65F4"/>
    <w:multiLevelType w:val="hybridMultilevel"/>
    <w:tmpl w:val="4CB2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F7938"/>
    <w:multiLevelType w:val="hybridMultilevel"/>
    <w:tmpl w:val="1BBC7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0726687"/>
    <w:multiLevelType w:val="hybridMultilevel"/>
    <w:tmpl w:val="551C8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471806"/>
    <w:multiLevelType w:val="hybridMultilevel"/>
    <w:tmpl w:val="B882D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8F5553"/>
    <w:multiLevelType w:val="hybridMultilevel"/>
    <w:tmpl w:val="2CBA5A68"/>
    <w:lvl w:ilvl="0" w:tplc="0409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AA77D81"/>
    <w:multiLevelType w:val="hybridMultilevel"/>
    <w:tmpl w:val="44EEE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02607A"/>
    <w:multiLevelType w:val="hybridMultilevel"/>
    <w:tmpl w:val="D54A0E32"/>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nsid w:val="6FFA273B"/>
    <w:multiLevelType w:val="hybridMultilevel"/>
    <w:tmpl w:val="998C27E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3FF4170"/>
    <w:multiLevelType w:val="hybridMultilevel"/>
    <w:tmpl w:val="23B4234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75BA23E6"/>
    <w:multiLevelType w:val="hybridMultilevel"/>
    <w:tmpl w:val="CC6E180E"/>
    <w:lvl w:ilvl="0" w:tplc="0407000F">
      <w:start w:val="1"/>
      <w:numFmt w:val="decimal"/>
      <w:lvlText w:val="%1."/>
      <w:lvlJc w:val="left"/>
      <w:pPr>
        <w:tabs>
          <w:tab w:val="num" w:pos="360"/>
        </w:tabs>
        <w:ind w:left="360" w:hanging="360"/>
      </w:pPr>
    </w:lvl>
    <w:lvl w:ilvl="1" w:tplc="4D16AC18">
      <w:start w:val="1"/>
      <w:numFmt w:val="bullet"/>
      <w:pStyle w:val="literature"/>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62B0EA7"/>
    <w:multiLevelType w:val="hybridMultilevel"/>
    <w:tmpl w:val="BE101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8063DD3"/>
    <w:multiLevelType w:val="hybridMultilevel"/>
    <w:tmpl w:val="EFF29C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F651521"/>
    <w:multiLevelType w:val="hybridMultilevel"/>
    <w:tmpl w:val="55306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4"/>
  </w:num>
  <w:num w:numId="4">
    <w:abstractNumId w:val="9"/>
  </w:num>
  <w:num w:numId="5">
    <w:abstractNumId w:val="17"/>
  </w:num>
  <w:num w:numId="6">
    <w:abstractNumId w:val="4"/>
  </w:num>
  <w:num w:numId="7">
    <w:abstractNumId w:val="0"/>
  </w:num>
  <w:num w:numId="8">
    <w:abstractNumId w:val="18"/>
  </w:num>
  <w:num w:numId="9">
    <w:abstractNumId w:val="2"/>
  </w:num>
  <w:num w:numId="10">
    <w:abstractNumId w:val="10"/>
  </w:num>
  <w:num w:numId="11">
    <w:abstractNumId w:val="12"/>
  </w:num>
  <w:num w:numId="12">
    <w:abstractNumId w:val="19"/>
  </w:num>
  <w:num w:numId="13">
    <w:abstractNumId w:val="6"/>
  </w:num>
  <w:num w:numId="14">
    <w:abstractNumId w:val="7"/>
  </w:num>
  <w:num w:numId="15">
    <w:abstractNumId w:val="3"/>
  </w:num>
  <w:num w:numId="16">
    <w:abstractNumId w:val="13"/>
  </w:num>
  <w:num w:numId="17">
    <w:abstractNumId w:val="5"/>
  </w:num>
  <w:num w:numId="18">
    <w:abstractNumId w:val="15"/>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1A"/>
    <w:rsid w:val="00000DDC"/>
    <w:rsid w:val="00175610"/>
    <w:rsid w:val="00192F2E"/>
    <w:rsid w:val="002C0CA5"/>
    <w:rsid w:val="0041590C"/>
    <w:rsid w:val="00555F8B"/>
    <w:rsid w:val="007D0B1A"/>
    <w:rsid w:val="00871F5E"/>
    <w:rsid w:val="008B4D9D"/>
    <w:rsid w:val="008E7AB3"/>
    <w:rsid w:val="00F64D08"/>
    <w:rsid w:val="00F95124"/>
    <w:rsid w:val="00FF5A8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6411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1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D0B1A"/>
    <w:pPr>
      <w:keepNext/>
      <w:jc w:val="center"/>
      <w:outlineLvl w:val="0"/>
    </w:pPr>
    <w:rPr>
      <w:b/>
      <w:i/>
      <w:sz w:val="40"/>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0B1A"/>
    <w:rPr>
      <w:rFonts w:ascii="Times New Roman" w:eastAsia="Times New Roman" w:hAnsi="Times New Roman" w:cs="Times New Roman"/>
      <w:b/>
      <w:i/>
      <w:sz w:val="40"/>
      <w:szCs w:val="48"/>
      <w:lang w:val="en-US"/>
    </w:rPr>
  </w:style>
  <w:style w:type="character" w:styleId="Hyperlink">
    <w:name w:val="Hyperlink"/>
    <w:semiHidden/>
    <w:rsid w:val="007D0B1A"/>
    <w:rPr>
      <w:color w:val="0000FF"/>
      <w:u w:val="single"/>
    </w:rPr>
  </w:style>
  <w:style w:type="paragraph" w:customStyle="1" w:styleId="literature">
    <w:name w:val="literature"/>
    <w:basedOn w:val="Normal"/>
    <w:rsid w:val="007D0B1A"/>
    <w:pPr>
      <w:numPr>
        <w:ilvl w:val="1"/>
        <w:numId w:val="1"/>
      </w:numPr>
      <w:spacing w:after="80"/>
      <w:jc w:val="both"/>
    </w:pPr>
    <w:rPr>
      <w:noProof/>
      <w:sz w:val="20"/>
    </w:rPr>
  </w:style>
  <w:style w:type="character" w:styleId="HTMLCite">
    <w:name w:val="HTML Cite"/>
    <w:uiPriority w:val="99"/>
    <w:semiHidden/>
    <w:rsid w:val="007D0B1A"/>
    <w:rPr>
      <w:i/>
      <w:iCs/>
    </w:rPr>
  </w:style>
  <w:style w:type="paragraph" w:styleId="PlainText">
    <w:name w:val="Plain Text"/>
    <w:basedOn w:val="Normal"/>
    <w:link w:val="PlainTextChar"/>
    <w:semiHidden/>
    <w:rsid w:val="007D0B1A"/>
    <w:rPr>
      <w:rFonts w:ascii="Courier New" w:hAnsi="Courier New"/>
      <w:sz w:val="20"/>
      <w:szCs w:val="20"/>
    </w:rPr>
  </w:style>
  <w:style w:type="character" w:customStyle="1" w:styleId="PlainTextChar">
    <w:name w:val="Plain Text Char"/>
    <w:basedOn w:val="DefaultParagraphFont"/>
    <w:link w:val="PlainText"/>
    <w:semiHidden/>
    <w:rsid w:val="007D0B1A"/>
    <w:rPr>
      <w:rFonts w:ascii="Courier New" w:eastAsia="Times New Roman" w:hAnsi="Courier New" w:cs="Times New Roman"/>
      <w:sz w:val="20"/>
      <w:szCs w:val="20"/>
      <w:lang w:val="en-US"/>
    </w:rPr>
  </w:style>
  <w:style w:type="paragraph" w:styleId="ListParagraph">
    <w:name w:val="List Paragraph"/>
    <w:basedOn w:val="Normal"/>
    <w:uiPriority w:val="34"/>
    <w:qFormat/>
    <w:rsid w:val="007D0B1A"/>
    <w:pPr>
      <w:ind w:left="720"/>
      <w:contextualSpacing/>
    </w:pPr>
  </w:style>
  <w:style w:type="character" w:customStyle="1" w:styleId="singlehighlightclass">
    <w:name w:val="single_highlight_class"/>
    <w:basedOn w:val="DefaultParagraphFont"/>
    <w:rsid w:val="00000D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1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D0B1A"/>
    <w:pPr>
      <w:keepNext/>
      <w:jc w:val="center"/>
      <w:outlineLvl w:val="0"/>
    </w:pPr>
    <w:rPr>
      <w:b/>
      <w:i/>
      <w:sz w:val="40"/>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0B1A"/>
    <w:rPr>
      <w:rFonts w:ascii="Times New Roman" w:eastAsia="Times New Roman" w:hAnsi="Times New Roman" w:cs="Times New Roman"/>
      <w:b/>
      <w:i/>
      <w:sz w:val="40"/>
      <w:szCs w:val="48"/>
      <w:lang w:val="en-US"/>
    </w:rPr>
  </w:style>
  <w:style w:type="character" w:styleId="Hyperlink">
    <w:name w:val="Hyperlink"/>
    <w:semiHidden/>
    <w:rsid w:val="007D0B1A"/>
    <w:rPr>
      <w:color w:val="0000FF"/>
      <w:u w:val="single"/>
    </w:rPr>
  </w:style>
  <w:style w:type="paragraph" w:customStyle="1" w:styleId="literature">
    <w:name w:val="literature"/>
    <w:basedOn w:val="Normal"/>
    <w:rsid w:val="007D0B1A"/>
    <w:pPr>
      <w:numPr>
        <w:ilvl w:val="1"/>
        <w:numId w:val="1"/>
      </w:numPr>
      <w:spacing w:after="80"/>
      <w:jc w:val="both"/>
    </w:pPr>
    <w:rPr>
      <w:noProof/>
      <w:sz w:val="20"/>
    </w:rPr>
  </w:style>
  <w:style w:type="character" w:styleId="HTMLCite">
    <w:name w:val="HTML Cite"/>
    <w:uiPriority w:val="99"/>
    <w:semiHidden/>
    <w:rsid w:val="007D0B1A"/>
    <w:rPr>
      <w:i/>
      <w:iCs/>
    </w:rPr>
  </w:style>
  <w:style w:type="paragraph" w:styleId="PlainText">
    <w:name w:val="Plain Text"/>
    <w:basedOn w:val="Normal"/>
    <w:link w:val="PlainTextChar"/>
    <w:semiHidden/>
    <w:rsid w:val="007D0B1A"/>
    <w:rPr>
      <w:rFonts w:ascii="Courier New" w:hAnsi="Courier New"/>
      <w:sz w:val="20"/>
      <w:szCs w:val="20"/>
    </w:rPr>
  </w:style>
  <w:style w:type="character" w:customStyle="1" w:styleId="PlainTextChar">
    <w:name w:val="Plain Text Char"/>
    <w:basedOn w:val="DefaultParagraphFont"/>
    <w:link w:val="PlainText"/>
    <w:semiHidden/>
    <w:rsid w:val="007D0B1A"/>
    <w:rPr>
      <w:rFonts w:ascii="Courier New" w:eastAsia="Times New Roman" w:hAnsi="Courier New" w:cs="Times New Roman"/>
      <w:sz w:val="20"/>
      <w:szCs w:val="20"/>
      <w:lang w:val="en-US"/>
    </w:rPr>
  </w:style>
  <w:style w:type="paragraph" w:styleId="ListParagraph">
    <w:name w:val="List Paragraph"/>
    <w:basedOn w:val="Normal"/>
    <w:uiPriority w:val="34"/>
    <w:qFormat/>
    <w:rsid w:val="007D0B1A"/>
    <w:pPr>
      <w:ind w:left="720"/>
      <w:contextualSpacing/>
    </w:pPr>
  </w:style>
  <w:style w:type="character" w:customStyle="1" w:styleId="singlehighlightclass">
    <w:name w:val="single_highlight_class"/>
    <w:basedOn w:val="DefaultParagraphFont"/>
    <w:rsid w:val="00000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siweb.org/pdf/ESI%20core%20facts%20-%20Greece%20Refugees%20Asylum%20-%2026%20January%202018.pdf" TargetMode="External"/><Relationship Id="rId12" Type="http://schemas.openxmlformats.org/officeDocument/2006/relationships/hyperlink" Target="https://www.crisisgroup.org/europe-central-asia/western-europemediterranean/turkey/248-turkeys-syrian-refugees-defusing-metropolitan-tension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eb.gc.cuny.edu/provost/pdf/AvoidingPlagiarism.pdf" TargetMode="External"/><Relationship Id="rId7" Type="http://schemas.openxmlformats.org/officeDocument/2006/relationships/hyperlink" Target="https://europarlamentti.info/en/European-union/history/" TargetMode="External"/><Relationship Id="rId8" Type="http://schemas.openxmlformats.org/officeDocument/2006/relationships/hyperlink" Target="https://doi.org/10.1080/1369183X.2016.1192996" TargetMode="External"/><Relationship Id="rId9" Type="http://schemas.openxmlformats.org/officeDocument/2006/relationships/hyperlink" Target="https://www.migrationpolicy.org/news/paradox-eu-turkey-refugee-deal" TargetMode="External"/><Relationship Id="rId10" Type="http://schemas.openxmlformats.org/officeDocument/2006/relationships/hyperlink" Target="http://www.esiweb.org/rumeliobserver/2015/11/29/the-devil-in-the-detail-eu-turkey-refugee-summit-in-november-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1606</Words>
  <Characters>9156</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Çınar</dc:creator>
  <cp:keywords/>
  <dc:description/>
  <cp:lastModifiedBy>dilek cinar</cp:lastModifiedBy>
  <cp:revision>5</cp:revision>
  <dcterms:created xsi:type="dcterms:W3CDTF">2020-09-21T10:28:00Z</dcterms:created>
  <dcterms:modified xsi:type="dcterms:W3CDTF">2020-09-21T13:09:00Z</dcterms:modified>
</cp:coreProperties>
</file>