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2F7C9" w14:textId="77777777" w:rsidR="00FC4D83" w:rsidRDefault="00FC4D83">
      <w:pPr>
        <w:spacing w:after="0"/>
        <w:jc w:val="center"/>
        <w:rPr>
          <w:b/>
          <w:smallCaps/>
          <w:sz w:val="22"/>
        </w:rPr>
      </w:pPr>
      <w:r>
        <w:rPr>
          <w:b/>
          <w:smallCaps/>
          <w:sz w:val="22"/>
        </w:rPr>
        <w:t>Pols 406</w:t>
      </w:r>
    </w:p>
    <w:p w14:paraId="11889EBB" w14:textId="77777777" w:rsidR="00FC4D83" w:rsidRDefault="00FC4D83">
      <w:pPr>
        <w:spacing w:after="0"/>
        <w:jc w:val="center"/>
        <w:rPr>
          <w:b/>
          <w:smallCaps/>
          <w:sz w:val="22"/>
        </w:rPr>
      </w:pPr>
      <w:r>
        <w:rPr>
          <w:b/>
          <w:smallCaps/>
          <w:sz w:val="22"/>
        </w:rPr>
        <w:t>Politics, Ideology and discourse</w:t>
      </w:r>
    </w:p>
    <w:p w14:paraId="413E3510" w14:textId="77777777" w:rsidR="00FC4D83" w:rsidRPr="00EE3625" w:rsidRDefault="00740F16" w:rsidP="00FC4D83">
      <w:pPr>
        <w:jc w:val="center"/>
        <w:rPr>
          <w:b/>
        </w:rPr>
      </w:pPr>
      <w:r>
        <w:rPr>
          <w:b/>
        </w:rPr>
        <w:t>Fall 2018</w:t>
      </w:r>
    </w:p>
    <w:p w14:paraId="0A868B72" w14:textId="77777777" w:rsidR="00FC4D83" w:rsidRDefault="00FC4D83">
      <w:pPr>
        <w:spacing w:after="0"/>
        <w:jc w:val="center"/>
        <w:rPr>
          <w:b/>
          <w:smallCaps/>
          <w:sz w:val="22"/>
        </w:rPr>
      </w:pPr>
    </w:p>
    <w:p w14:paraId="66A045B7" w14:textId="77777777" w:rsidR="00FC4D83" w:rsidRDefault="00FC4D83">
      <w:pPr>
        <w:pStyle w:val="Heading5"/>
        <w:rPr>
          <w:sz w:val="22"/>
        </w:rPr>
      </w:pPr>
      <w:r>
        <w:rPr>
          <w:sz w:val="22"/>
        </w:rPr>
        <w:t>Zeynep Gambetti</w:t>
      </w:r>
    </w:p>
    <w:p w14:paraId="2D9F6B40" w14:textId="77777777" w:rsidR="00FC4D83" w:rsidRDefault="00FC4D83">
      <w:pPr>
        <w:rPr>
          <w:sz w:val="22"/>
        </w:rPr>
      </w:pPr>
    </w:p>
    <w:p w14:paraId="57E2540F" w14:textId="77777777" w:rsidR="00FC4D83" w:rsidRDefault="00FC4D83" w:rsidP="00FC4D83">
      <w:pPr>
        <w:spacing w:after="0"/>
        <w:rPr>
          <w:sz w:val="22"/>
          <w:szCs w:val="22"/>
        </w:rPr>
      </w:pPr>
      <w:r w:rsidRPr="009C3CCD">
        <w:rPr>
          <w:b/>
          <w:sz w:val="22"/>
          <w:szCs w:val="22"/>
        </w:rPr>
        <w:t>Course hours</w:t>
      </w:r>
      <w:r w:rsidRPr="00EB0FF4">
        <w:rPr>
          <w:sz w:val="22"/>
          <w:szCs w:val="22"/>
        </w:rPr>
        <w:t xml:space="preserve">: </w:t>
      </w:r>
      <w:proofErr w:type="spellStart"/>
      <w:r w:rsidRPr="00B66502">
        <w:rPr>
          <w:sz w:val="22"/>
          <w:szCs w:val="22"/>
        </w:rPr>
        <w:t>W</w:t>
      </w:r>
      <w:r w:rsidR="00740F16" w:rsidRPr="00B66502">
        <w:rPr>
          <w:sz w:val="22"/>
          <w:szCs w:val="22"/>
        </w:rPr>
        <w:t>Th</w:t>
      </w:r>
      <w:r w:rsidR="00B66502" w:rsidRPr="00B66502">
        <w:rPr>
          <w:sz w:val="22"/>
          <w:szCs w:val="22"/>
        </w:rPr>
        <w:t>Th</w:t>
      </w:r>
      <w:proofErr w:type="spellEnd"/>
      <w:r w:rsidRPr="00B66502">
        <w:rPr>
          <w:sz w:val="22"/>
          <w:szCs w:val="22"/>
        </w:rPr>
        <w:t xml:space="preserve"> </w:t>
      </w:r>
      <w:r w:rsidR="00B66502" w:rsidRPr="00B66502">
        <w:rPr>
          <w:sz w:val="22"/>
          <w:szCs w:val="22"/>
        </w:rPr>
        <w:t>4</w:t>
      </w:r>
      <w:r w:rsidRPr="00B66502">
        <w:rPr>
          <w:sz w:val="22"/>
          <w:szCs w:val="22"/>
        </w:rPr>
        <w:t>78</w:t>
      </w:r>
    </w:p>
    <w:p w14:paraId="20BFAD2D" w14:textId="6FFB6F24" w:rsidR="00740F16" w:rsidRDefault="00740F16" w:rsidP="00FC4D83">
      <w:pPr>
        <w:spacing w:after="0"/>
        <w:rPr>
          <w:sz w:val="22"/>
          <w:szCs w:val="22"/>
        </w:rPr>
      </w:pPr>
      <w:r w:rsidRPr="009C3CCD">
        <w:rPr>
          <w:b/>
          <w:sz w:val="22"/>
          <w:szCs w:val="22"/>
        </w:rPr>
        <w:t>Office hours</w:t>
      </w:r>
      <w:r>
        <w:rPr>
          <w:sz w:val="22"/>
          <w:szCs w:val="22"/>
        </w:rPr>
        <w:t>:</w:t>
      </w:r>
      <w:r w:rsidR="00161162">
        <w:rPr>
          <w:sz w:val="22"/>
          <w:szCs w:val="22"/>
        </w:rPr>
        <w:t xml:space="preserve"> </w:t>
      </w:r>
      <w:r w:rsidR="00B97801">
        <w:rPr>
          <w:sz w:val="22"/>
          <w:szCs w:val="22"/>
        </w:rPr>
        <w:t>W6</w:t>
      </w:r>
    </w:p>
    <w:p w14:paraId="68A729CC" w14:textId="1BE3B7D5" w:rsidR="00B97801" w:rsidRDefault="00B97801" w:rsidP="00FC4D83">
      <w:pPr>
        <w:spacing w:after="0"/>
        <w:rPr>
          <w:sz w:val="22"/>
          <w:szCs w:val="22"/>
        </w:rPr>
      </w:pPr>
      <w:r w:rsidRPr="009C3CCD">
        <w:rPr>
          <w:b/>
          <w:sz w:val="22"/>
          <w:szCs w:val="22"/>
        </w:rPr>
        <w:t>Office</w:t>
      </w:r>
      <w:r>
        <w:rPr>
          <w:sz w:val="22"/>
          <w:szCs w:val="22"/>
        </w:rPr>
        <w:t>: IB 504</w:t>
      </w:r>
    </w:p>
    <w:p w14:paraId="74635622" w14:textId="7EA458B2" w:rsidR="00740F16" w:rsidRPr="00EB0FF4" w:rsidRDefault="00740F16" w:rsidP="00FC4D83">
      <w:pPr>
        <w:spacing w:after="0"/>
        <w:rPr>
          <w:sz w:val="22"/>
          <w:szCs w:val="22"/>
        </w:rPr>
      </w:pPr>
      <w:r w:rsidRPr="009C3CCD">
        <w:rPr>
          <w:b/>
          <w:sz w:val="22"/>
          <w:szCs w:val="22"/>
        </w:rPr>
        <w:t>Assistant</w:t>
      </w:r>
      <w:r>
        <w:rPr>
          <w:sz w:val="22"/>
          <w:szCs w:val="22"/>
        </w:rPr>
        <w:t xml:space="preserve">: </w:t>
      </w:r>
      <w:proofErr w:type="spellStart"/>
      <w:r w:rsidR="00B97801">
        <w:rPr>
          <w:sz w:val="22"/>
          <w:szCs w:val="22"/>
        </w:rPr>
        <w:t>Özlem</w:t>
      </w:r>
      <w:proofErr w:type="spellEnd"/>
      <w:r w:rsidR="00B97801">
        <w:rPr>
          <w:sz w:val="22"/>
          <w:szCs w:val="22"/>
        </w:rPr>
        <w:t xml:space="preserve"> </w:t>
      </w:r>
      <w:proofErr w:type="spellStart"/>
      <w:r w:rsidR="00B97801">
        <w:rPr>
          <w:sz w:val="22"/>
          <w:szCs w:val="22"/>
        </w:rPr>
        <w:t>Tunçel</w:t>
      </w:r>
      <w:proofErr w:type="spellEnd"/>
      <w:r w:rsidR="00B97801">
        <w:rPr>
          <w:sz w:val="22"/>
          <w:szCs w:val="22"/>
        </w:rPr>
        <w:t>: t.ozlem93@gmail.com</w:t>
      </w:r>
    </w:p>
    <w:p w14:paraId="21EC5ECC" w14:textId="77777777" w:rsidR="00FC4D83" w:rsidRPr="00740F16" w:rsidRDefault="00FC4D83" w:rsidP="00FC4D83">
      <w:pPr>
        <w:rPr>
          <w:smallCaps/>
        </w:rPr>
      </w:pPr>
      <w:bookmarkStart w:id="0" w:name="_GoBack"/>
      <w:bookmarkEnd w:id="0"/>
    </w:p>
    <w:p w14:paraId="03FD891C" w14:textId="77777777" w:rsidR="00FC4D83" w:rsidRDefault="00FC4D83" w:rsidP="00FC4D83">
      <w:pPr>
        <w:rPr>
          <w:i/>
        </w:rPr>
      </w:pPr>
      <w:r w:rsidRPr="003279D0">
        <w:rPr>
          <w:i/>
          <w:smallCaps/>
        </w:rPr>
        <w:t>T</w:t>
      </w:r>
      <w:r w:rsidRPr="003279D0">
        <w:rPr>
          <w:i/>
        </w:rPr>
        <w:t>his course is of interest to those who want to know where their ideas come from, whether these ideas "correspond to", "distort", "construct" or "mystify" social reality...</w:t>
      </w:r>
    </w:p>
    <w:p w14:paraId="3081B836" w14:textId="77777777" w:rsidR="00FC4D83" w:rsidRDefault="00FC4D83" w:rsidP="00FC4D83">
      <w:pPr>
        <w:rPr>
          <w:b/>
          <w:i/>
        </w:rPr>
      </w:pPr>
    </w:p>
    <w:p w14:paraId="7B84BC91" w14:textId="77777777" w:rsidR="00FC4D83" w:rsidRPr="003279D0" w:rsidRDefault="00FC4D83" w:rsidP="00FC4D83">
      <w:pPr>
        <w:rPr>
          <w:b/>
        </w:rPr>
      </w:pPr>
      <w:r w:rsidRPr="003279D0">
        <w:rPr>
          <w:b/>
        </w:rPr>
        <w:t xml:space="preserve">Course </w:t>
      </w:r>
      <w:proofErr w:type="gramStart"/>
      <w:r w:rsidRPr="003279D0">
        <w:rPr>
          <w:b/>
        </w:rPr>
        <w:t>requirements :</w:t>
      </w:r>
      <w:proofErr w:type="gramEnd"/>
    </w:p>
    <w:p w14:paraId="2E42F56C" w14:textId="77777777" w:rsidR="00FC4D83" w:rsidRPr="00C4545C" w:rsidRDefault="00FC4D83" w:rsidP="00FC4D83">
      <w:pPr>
        <w:spacing w:after="0"/>
        <w:rPr>
          <w:sz w:val="22"/>
        </w:rPr>
      </w:pPr>
      <w:r w:rsidRPr="00C4545C">
        <w:rPr>
          <w:sz w:val="22"/>
        </w:rPr>
        <w:t xml:space="preserve">Reading weekly material before coming to class is </w:t>
      </w:r>
      <w:r w:rsidRPr="00740F16">
        <w:rPr>
          <w:sz w:val="22"/>
          <w:u w:val="single"/>
        </w:rPr>
        <w:t>absolutely</w:t>
      </w:r>
      <w:r w:rsidRPr="00C4545C">
        <w:rPr>
          <w:sz w:val="22"/>
        </w:rPr>
        <w:t xml:space="preserve"> necessary. The lectures will cover the main points, but the material is too complex to grasp without careful reading. Attendance is </w:t>
      </w:r>
      <w:r w:rsidR="00740F16">
        <w:rPr>
          <w:sz w:val="22"/>
        </w:rPr>
        <w:t xml:space="preserve">also </w:t>
      </w:r>
      <w:r w:rsidRPr="00161162">
        <w:rPr>
          <w:sz w:val="22"/>
          <w:u w:val="single"/>
        </w:rPr>
        <w:t>strictly</w:t>
      </w:r>
      <w:r w:rsidRPr="00C4545C">
        <w:rPr>
          <w:sz w:val="22"/>
        </w:rPr>
        <w:t xml:space="preserve"> necessary.</w:t>
      </w:r>
    </w:p>
    <w:p w14:paraId="59CDF5B1" w14:textId="77777777" w:rsidR="00FC4D83" w:rsidRPr="00C4545C" w:rsidRDefault="00FC4D83" w:rsidP="00FC4D83">
      <w:pPr>
        <w:spacing w:after="0"/>
        <w:rPr>
          <w:sz w:val="22"/>
        </w:rPr>
      </w:pPr>
    </w:p>
    <w:p w14:paraId="4D576FC0" w14:textId="6D0CDCEB" w:rsidR="00FC4D83" w:rsidRPr="00C4545C" w:rsidRDefault="00740F16" w:rsidP="00FC4D83">
      <w:pPr>
        <w:numPr>
          <w:ilvl w:val="0"/>
          <w:numId w:val="11"/>
        </w:numPr>
        <w:spacing w:after="0"/>
        <w:rPr>
          <w:sz w:val="22"/>
        </w:rPr>
      </w:pPr>
      <w:r>
        <w:rPr>
          <w:sz w:val="22"/>
          <w:u w:val="single"/>
        </w:rPr>
        <w:t xml:space="preserve">Response papers (2 x 25 </w:t>
      </w:r>
      <w:r w:rsidR="00FC4D83" w:rsidRPr="00C4545C">
        <w:rPr>
          <w:sz w:val="22"/>
          <w:u w:val="single"/>
        </w:rPr>
        <w:t>%</w:t>
      </w:r>
      <w:proofErr w:type="gramStart"/>
      <w:r w:rsidR="00FC4D83" w:rsidRPr="00C4545C">
        <w:rPr>
          <w:sz w:val="22"/>
          <w:u w:val="single"/>
        </w:rPr>
        <w:t>) :</w:t>
      </w:r>
      <w:proofErr w:type="gramEnd"/>
      <w:r w:rsidR="00FC4D83" w:rsidRPr="00C4545C">
        <w:rPr>
          <w:sz w:val="22"/>
        </w:rPr>
        <w:t xml:space="preserve"> </w:t>
      </w:r>
      <w:r w:rsidR="001D74A1">
        <w:rPr>
          <w:sz w:val="22"/>
        </w:rPr>
        <w:t>S</w:t>
      </w:r>
      <w:r w:rsidR="00161162">
        <w:rPr>
          <w:sz w:val="22"/>
        </w:rPr>
        <w:t>tudents will assess</w:t>
      </w:r>
      <w:r w:rsidR="00FC4D83" w:rsidRPr="00C4545C">
        <w:rPr>
          <w:sz w:val="22"/>
        </w:rPr>
        <w:t xml:space="preserve"> various approaches to ideology in the form of response papers</w:t>
      </w:r>
      <w:r w:rsidR="00161162">
        <w:rPr>
          <w:sz w:val="22"/>
        </w:rPr>
        <w:t xml:space="preserve"> of </w:t>
      </w:r>
      <w:r w:rsidR="00161162" w:rsidRPr="00C4545C">
        <w:rPr>
          <w:sz w:val="22"/>
        </w:rPr>
        <w:t>max. 4-5 page</w:t>
      </w:r>
      <w:r w:rsidR="00161162">
        <w:rPr>
          <w:sz w:val="22"/>
        </w:rPr>
        <w:t>s</w:t>
      </w:r>
      <w:r w:rsidR="00FC4D83" w:rsidRPr="00C4545C">
        <w:rPr>
          <w:sz w:val="22"/>
        </w:rPr>
        <w:t xml:space="preserve">. There will be two of these papers to write for this course. The </w:t>
      </w:r>
      <w:r w:rsidR="00672661">
        <w:rPr>
          <w:sz w:val="22"/>
        </w:rPr>
        <w:t xml:space="preserve">papers will be purely theoretical – no case studies, no research, no </w:t>
      </w:r>
      <w:proofErr w:type="gramStart"/>
      <w:r w:rsidR="00672661">
        <w:rPr>
          <w:sz w:val="22"/>
        </w:rPr>
        <w:t>internet</w:t>
      </w:r>
      <w:proofErr w:type="gramEnd"/>
      <w:r w:rsidR="00672661">
        <w:rPr>
          <w:sz w:val="22"/>
        </w:rPr>
        <w:t xml:space="preserve"> sources. Only the reading material can be used to write the papers. P</w:t>
      </w:r>
      <w:r w:rsidR="00FC4D83" w:rsidRPr="00C4545C">
        <w:rPr>
          <w:sz w:val="22"/>
        </w:rPr>
        <w:t>aper will be handed in on the date to be specified at the beginning of the course. No paper will be accepted after the deadline.</w:t>
      </w:r>
    </w:p>
    <w:p w14:paraId="2E66FA88" w14:textId="77777777" w:rsidR="00FC4D83" w:rsidRPr="00C4545C" w:rsidRDefault="00FC4D83" w:rsidP="00FC4D83">
      <w:pPr>
        <w:spacing w:after="0"/>
        <w:rPr>
          <w:sz w:val="22"/>
          <w:u w:val="single"/>
        </w:rPr>
      </w:pPr>
    </w:p>
    <w:p w14:paraId="3FA60ED2" w14:textId="610E617F" w:rsidR="00FC4D83" w:rsidRPr="00C4545C" w:rsidRDefault="00740F16" w:rsidP="00FC4D83">
      <w:pPr>
        <w:numPr>
          <w:ilvl w:val="0"/>
          <w:numId w:val="11"/>
        </w:numPr>
        <w:spacing w:after="0"/>
        <w:rPr>
          <w:sz w:val="22"/>
        </w:rPr>
      </w:pPr>
      <w:r>
        <w:rPr>
          <w:sz w:val="22"/>
          <w:u w:val="single"/>
        </w:rPr>
        <w:t>Term Paper  (5</w:t>
      </w:r>
      <w:r w:rsidR="00FC4D83" w:rsidRPr="00C4545C">
        <w:rPr>
          <w:sz w:val="22"/>
          <w:u w:val="single"/>
        </w:rPr>
        <w:t>0 %):</w:t>
      </w:r>
      <w:r w:rsidR="00FC4D83" w:rsidRPr="00C4545C">
        <w:rPr>
          <w:sz w:val="22"/>
        </w:rPr>
        <w:t xml:space="preserve">  At the end of the course, students will be asked to write a term paper using one of the formats </w:t>
      </w:r>
      <w:r w:rsidR="00161162">
        <w:rPr>
          <w:sz w:val="22"/>
        </w:rPr>
        <w:t xml:space="preserve">to be provided </w:t>
      </w:r>
      <w:r w:rsidR="00672661">
        <w:rPr>
          <w:sz w:val="22"/>
        </w:rPr>
        <w:t>in due time</w:t>
      </w:r>
      <w:r>
        <w:rPr>
          <w:sz w:val="22"/>
        </w:rPr>
        <w:t>. The papers will not exceed 12</w:t>
      </w:r>
      <w:r w:rsidR="00FC4D83" w:rsidRPr="00C4545C">
        <w:rPr>
          <w:sz w:val="22"/>
        </w:rPr>
        <w:t xml:space="preserve"> typewritten pages </w:t>
      </w:r>
      <w:proofErr w:type="gramStart"/>
      <w:r w:rsidR="00FC4D83" w:rsidRPr="00C4545C">
        <w:rPr>
          <w:sz w:val="22"/>
        </w:rPr>
        <w:t>with 1½ spacing</w:t>
      </w:r>
      <w:proofErr w:type="gramEnd"/>
      <w:r w:rsidR="00FC4D83" w:rsidRPr="00C4545C">
        <w:rPr>
          <w:sz w:val="22"/>
        </w:rPr>
        <w:t xml:space="preserve">. </w:t>
      </w:r>
    </w:p>
    <w:p w14:paraId="0FC4260C" w14:textId="77777777" w:rsidR="00FC4D83" w:rsidRPr="005125C1" w:rsidRDefault="00FC4D83">
      <w:pPr>
        <w:rPr>
          <w:sz w:val="22"/>
        </w:rPr>
      </w:pPr>
    </w:p>
    <w:p w14:paraId="72F44A16" w14:textId="77777777" w:rsidR="00FC4D83" w:rsidRPr="00C4545C" w:rsidRDefault="00FC4D83" w:rsidP="00FC4D83">
      <w:pPr>
        <w:jc w:val="center"/>
        <w:rPr>
          <w:i/>
          <w:sz w:val="22"/>
        </w:rPr>
      </w:pPr>
      <w:r w:rsidRPr="00805104">
        <w:rPr>
          <w:i/>
          <w:sz w:val="22"/>
        </w:rPr>
        <w:t xml:space="preserve">* A paper </w:t>
      </w:r>
      <w:r>
        <w:rPr>
          <w:i/>
          <w:sz w:val="22"/>
        </w:rPr>
        <w:t xml:space="preserve">writing </w:t>
      </w:r>
      <w:r w:rsidRPr="00805104">
        <w:rPr>
          <w:i/>
          <w:sz w:val="22"/>
        </w:rPr>
        <w:t xml:space="preserve">guideline will be distributed </w:t>
      </w:r>
      <w:r>
        <w:rPr>
          <w:i/>
          <w:sz w:val="22"/>
        </w:rPr>
        <w:t>in class</w:t>
      </w:r>
      <w:r w:rsidRPr="00805104">
        <w:rPr>
          <w:i/>
          <w:sz w:val="22"/>
        </w:rPr>
        <w:t xml:space="preserve"> *</w:t>
      </w:r>
    </w:p>
    <w:p w14:paraId="20CB22E2" w14:textId="77777777" w:rsidR="00FC4D83" w:rsidRDefault="00FC4D83" w:rsidP="00FC4D83">
      <w:pPr>
        <w:pStyle w:val="FootnoteText"/>
        <w:rPr>
          <w:rFonts w:ascii="Times New Roman" w:hAnsi="Times New Roman"/>
          <w:b/>
          <w:sz w:val="22"/>
          <w:szCs w:val="22"/>
          <w:lang w:val="en-US"/>
        </w:rPr>
      </w:pPr>
    </w:p>
    <w:p w14:paraId="46855086" w14:textId="77777777" w:rsidR="00555FB3" w:rsidRDefault="00555FB3" w:rsidP="00FC4D83">
      <w:pPr>
        <w:pStyle w:val="FootnoteText"/>
        <w:rPr>
          <w:rFonts w:ascii="Times New Roman" w:hAnsi="Times New Roman"/>
          <w:b/>
          <w:sz w:val="22"/>
          <w:szCs w:val="22"/>
          <w:lang w:val="en-US"/>
        </w:rPr>
      </w:pPr>
    </w:p>
    <w:p w14:paraId="7C3C46A3" w14:textId="77777777" w:rsidR="00FC4D83" w:rsidRPr="00EE3625" w:rsidRDefault="00FC4D83" w:rsidP="00FC4D83">
      <w:pPr>
        <w:jc w:val="center"/>
        <w:rPr>
          <w:b/>
          <w:smallCaps/>
          <w:sz w:val="22"/>
          <w:szCs w:val="22"/>
        </w:rPr>
      </w:pPr>
      <w:r w:rsidRPr="00EE3625">
        <w:rPr>
          <w:b/>
          <w:smallCaps/>
          <w:sz w:val="22"/>
          <w:szCs w:val="22"/>
        </w:rPr>
        <w:t>Required Reading</w:t>
      </w:r>
    </w:p>
    <w:p w14:paraId="2F6EE3F6" w14:textId="77777777" w:rsidR="00FC4D83" w:rsidRDefault="00FC4D83">
      <w:pPr>
        <w:rPr>
          <w:sz w:val="22"/>
        </w:rPr>
      </w:pPr>
    </w:p>
    <w:p w14:paraId="4C2C1AE0" w14:textId="77777777" w:rsidR="00FC4D83" w:rsidRDefault="00FC4D83" w:rsidP="00FC4D83">
      <w:pPr>
        <w:pStyle w:val="Heading5"/>
        <w:spacing w:before="120" w:after="240"/>
        <w:rPr>
          <w:smallCaps/>
          <w:sz w:val="22"/>
        </w:rPr>
      </w:pPr>
      <w:r>
        <w:rPr>
          <w:smallCaps/>
          <w:sz w:val="22"/>
        </w:rPr>
        <w:t>1. Marxist Theories of Ideology</w:t>
      </w:r>
    </w:p>
    <w:p w14:paraId="530FDA4A" w14:textId="77777777" w:rsidR="00FC4D83" w:rsidRDefault="00FC4D83">
      <w:pPr>
        <w:rPr>
          <w:b/>
          <w:sz w:val="22"/>
        </w:rPr>
      </w:pPr>
      <w:r>
        <w:rPr>
          <w:b/>
          <w:sz w:val="22"/>
        </w:rPr>
        <w:t>Week 1-2: Marx: From inversion to ideology</w:t>
      </w:r>
    </w:p>
    <w:p w14:paraId="22363DB3" w14:textId="77777777" w:rsidR="00FC4D83" w:rsidRDefault="00FC4D83" w:rsidP="00FC4D83">
      <w:pPr>
        <w:rPr>
          <w:sz w:val="22"/>
        </w:rPr>
      </w:pPr>
      <w:r>
        <w:rPr>
          <w:sz w:val="22"/>
        </w:rPr>
        <w:t xml:space="preserve"> (All texts are from Robert C. Tucker (</w:t>
      </w:r>
      <w:proofErr w:type="spellStart"/>
      <w:r>
        <w:rPr>
          <w:sz w:val="22"/>
        </w:rPr>
        <w:t>ed</w:t>
      </w:r>
      <w:proofErr w:type="spellEnd"/>
      <w:r>
        <w:rPr>
          <w:sz w:val="22"/>
        </w:rPr>
        <w:t xml:space="preserve">), </w:t>
      </w:r>
      <w:r>
        <w:rPr>
          <w:i/>
          <w:sz w:val="22"/>
        </w:rPr>
        <w:t>The Marx-Engels Reader</w:t>
      </w:r>
      <w:r>
        <w:rPr>
          <w:sz w:val="22"/>
        </w:rPr>
        <w:t xml:space="preserve"> (1</w:t>
      </w:r>
      <w:r>
        <w:rPr>
          <w:sz w:val="22"/>
          <w:vertAlign w:val="superscript"/>
        </w:rPr>
        <w:t>st</w:t>
      </w:r>
      <w:r>
        <w:rPr>
          <w:sz w:val="22"/>
        </w:rPr>
        <w:t xml:space="preserve"> ed.), New York, W.W. Norton &amp; Co, 1972)</w:t>
      </w:r>
    </w:p>
    <w:p w14:paraId="15E9B653" w14:textId="77777777" w:rsidR="00FC4D83" w:rsidRDefault="00FC4D83">
      <w:pPr>
        <w:rPr>
          <w:sz w:val="22"/>
        </w:rPr>
      </w:pPr>
      <w:r>
        <w:rPr>
          <w:sz w:val="22"/>
        </w:rPr>
        <w:t xml:space="preserve">Karl Marx, </w:t>
      </w:r>
      <w:r>
        <w:rPr>
          <w:i/>
          <w:sz w:val="22"/>
        </w:rPr>
        <w:t xml:space="preserve">Contribution to the Critique of Hegel's </w:t>
      </w:r>
      <w:r>
        <w:rPr>
          <w:sz w:val="22"/>
        </w:rPr>
        <w:t>Philosophy of Right</w:t>
      </w:r>
      <w:r>
        <w:rPr>
          <w:i/>
          <w:sz w:val="22"/>
        </w:rPr>
        <w:t xml:space="preserve">: </w:t>
      </w:r>
      <w:proofErr w:type="gramStart"/>
      <w:r>
        <w:rPr>
          <w:i/>
          <w:sz w:val="22"/>
        </w:rPr>
        <w:t>Introduction</w:t>
      </w:r>
      <w:r>
        <w:rPr>
          <w:sz w:val="22"/>
        </w:rPr>
        <w:t xml:space="preserve"> ,</w:t>
      </w:r>
      <w:proofErr w:type="gramEnd"/>
      <w:r>
        <w:rPr>
          <w:sz w:val="22"/>
        </w:rPr>
        <w:t xml:space="preserve"> p. 11-23</w:t>
      </w:r>
    </w:p>
    <w:p w14:paraId="42044DC4" w14:textId="77777777" w:rsidR="00FC4D83" w:rsidRDefault="00FC4D83" w:rsidP="00FC4D83">
      <w:pPr>
        <w:pStyle w:val="Heading4"/>
        <w:rPr>
          <w:i w:val="0"/>
          <w:sz w:val="22"/>
        </w:rPr>
      </w:pPr>
      <w:r>
        <w:rPr>
          <w:i w:val="0"/>
          <w:sz w:val="22"/>
        </w:rPr>
        <w:t xml:space="preserve">Karl Marx, </w:t>
      </w:r>
      <w:r>
        <w:rPr>
          <w:sz w:val="22"/>
        </w:rPr>
        <w:t xml:space="preserve">Theses on </w:t>
      </w:r>
      <w:proofErr w:type="gramStart"/>
      <w:r>
        <w:rPr>
          <w:sz w:val="22"/>
        </w:rPr>
        <w:t>Feuerbach</w:t>
      </w:r>
      <w:r>
        <w:rPr>
          <w:i w:val="0"/>
          <w:sz w:val="22"/>
        </w:rPr>
        <w:t xml:space="preserve"> ,</w:t>
      </w:r>
      <w:proofErr w:type="gramEnd"/>
      <w:r>
        <w:rPr>
          <w:i w:val="0"/>
          <w:sz w:val="22"/>
        </w:rPr>
        <w:t xml:space="preserve"> p. 107-109</w:t>
      </w:r>
    </w:p>
    <w:p w14:paraId="3A283A36" w14:textId="77777777" w:rsidR="00FC4D83" w:rsidRDefault="00FC4D83" w:rsidP="00FC4D83">
      <w:pPr>
        <w:rPr>
          <w:sz w:val="22"/>
        </w:rPr>
      </w:pPr>
      <w:r>
        <w:rPr>
          <w:sz w:val="22"/>
        </w:rPr>
        <w:t xml:space="preserve">Karl Marx, </w:t>
      </w:r>
      <w:r>
        <w:rPr>
          <w:i/>
          <w:sz w:val="22"/>
        </w:rPr>
        <w:t>The German Ideology</w:t>
      </w:r>
      <w:r>
        <w:rPr>
          <w:sz w:val="22"/>
        </w:rPr>
        <w:t xml:space="preserve"> (excerpts</w:t>
      </w:r>
      <w:proofErr w:type="gramStart"/>
      <w:r>
        <w:rPr>
          <w:sz w:val="22"/>
        </w:rPr>
        <w:t>) ,</w:t>
      </w:r>
      <w:proofErr w:type="gramEnd"/>
      <w:r>
        <w:rPr>
          <w:sz w:val="22"/>
        </w:rPr>
        <w:t xml:space="preserve"> p. 111-139</w:t>
      </w:r>
    </w:p>
    <w:p w14:paraId="0D6813EE" w14:textId="77777777" w:rsidR="005242ED" w:rsidRDefault="005242ED" w:rsidP="00FC4D83">
      <w:pPr>
        <w:spacing w:before="120"/>
        <w:rPr>
          <w:b/>
          <w:sz w:val="22"/>
        </w:rPr>
      </w:pPr>
    </w:p>
    <w:p w14:paraId="344DF393" w14:textId="77777777" w:rsidR="00FC4D83" w:rsidRDefault="00FC4D83" w:rsidP="00FC4D83">
      <w:pPr>
        <w:spacing w:before="120"/>
        <w:rPr>
          <w:b/>
          <w:sz w:val="22"/>
        </w:rPr>
      </w:pPr>
      <w:r>
        <w:rPr>
          <w:b/>
          <w:sz w:val="22"/>
        </w:rPr>
        <w:t>We</w:t>
      </w:r>
      <w:r w:rsidR="00FE7EEA">
        <w:rPr>
          <w:b/>
          <w:sz w:val="22"/>
        </w:rPr>
        <w:t>ek 2-3: Marx: From a</w:t>
      </w:r>
      <w:r>
        <w:rPr>
          <w:b/>
          <w:sz w:val="22"/>
        </w:rPr>
        <w:t xml:space="preserve">lienation </w:t>
      </w:r>
      <w:r w:rsidR="00FE7EEA">
        <w:rPr>
          <w:b/>
          <w:sz w:val="22"/>
        </w:rPr>
        <w:t>to</w:t>
      </w:r>
      <w:r>
        <w:rPr>
          <w:b/>
          <w:sz w:val="22"/>
        </w:rPr>
        <w:t xml:space="preserve"> the fetishism of commodities</w:t>
      </w:r>
    </w:p>
    <w:p w14:paraId="2D860C98" w14:textId="77777777" w:rsidR="00FC4D83" w:rsidRDefault="00FC4D83" w:rsidP="00FC4D83">
      <w:pPr>
        <w:rPr>
          <w:sz w:val="22"/>
        </w:rPr>
      </w:pPr>
      <w:r>
        <w:rPr>
          <w:sz w:val="22"/>
        </w:rPr>
        <w:t xml:space="preserve">Karl Marx, </w:t>
      </w:r>
      <w:r>
        <w:rPr>
          <w:i/>
          <w:sz w:val="22"/>
        </w:rPr>
        <w:t xml:space="preserve">The </w:t>
      </w:r>
      <w:proofErr w:type="spellStart"/>
      <w:r>
        <w:rPr>
          <w:i/>
          <w:sz w:val="22"/>
        </w:rPr>
        <w:t>Economico</w:t>
      </w:r>
      <w:proofErr w:type="spellEnd"/>
      <w:r>
        <w:rPr>
          <w:i/>
          <w:sz w:val="22"/>
        </w:rPr>
        <w:t>-Philosophical Manuscripts of 1844</w:t>
      </w:r>
      <w:r>
        <w:rPr>
          <w:sz w:val="22"/>
        </w:rPr>
        <w:t>:  First Manuscript: "Estranged Labour" (selections</w:t>
      </w:r>
      <w:proofErr w:type="gramStart"/>
      <w:r>
        <w:rPr>
          <w:sz w:val="22"/>
        </w:rPr>
        <w:t>) ,</w:t>
      </w:r>
      <w:proofErr w:type="gramEnd"/>
      <w:r>
        <w:rPr>
          <w:sz w:val="22"/>
        </w:rPr>
        <w:t xml:space="preserve"> p.53-67</w:t>
      </w:r>
    </w:p>
    <w:p w14:paraId="0A9DF3EC" w14:textId="77777777" w:rsidR="00FC4D83" w:rsidRDefault="00FC4D83">
      <w:pPr>
        <w:rPr>
          <w:sz w:val="22"/>
        </w:rPr>
      </w:pPr>
      <w:r>
        <w:rPr>
          <w:sz w:val="22"/>
        </w:rPr>
        <w:lastRenderedPageBreak/>
        <w:t xml:space="preserve">Karl Marx, </w:t>
      </w:r>
      <w:r>
        <w:rPr>
          <w:i/>
          <w:sz w:val="22"/>
        </w:rPr>
        <w:t>Capital</w:t>
      </w:r>
      <w:r>
        <w:rPr>
          <w:sz w:val="22"/>
        </w:rPr>
        <w:t xml:space="preserve">, Vol. I: "The Fetishism of The </w:t>
      </w:r>
      <w:proofErr w:type="spellStart"/>
      <w:r>
        <w:rPr>
          <w:sz w:val="22"/>
        </w:rPr>
        <w:t>Commody</w:t>
      </w:r>
      <w:proofErr w:type="spellEnd"/>
      <w:r>
        <w:rPr>
          <w:sz w:val="22"/>
        </w:rPr>
        <w:t xml:space="preserve"> and Its Secret " (excerpts</w:t>
      </w:r>
      <w:proofErr w:type="gramStart"/>
      <w:r>
        <w:rPr>
          <w:sz w:val="22"/>
        </w:rPr>
        <w:t>) ,</w:t>
      </w:r>
      <w:proofErr w:type="gramEnd"/>
      <w:r>
        <w:rPr>
          <w:sz w:val="22"/>
        </w:rPr>
        <w:t xml:space="preserve"> p. 162-177</w:t>
      </w:r>
    </w:p>
    <w:p w14:paraId="68A349E6" w14:textId="77777777" w:rsidR="00FC4D83" w:rsidRDefault="00FC4D83" w:rsidP="00FC4D83">
      <w:pPr>
        <w:rPr>
          <w:sz w:val="22"/>
        </w:rPr>
      </w:pPr>
      <w:r>
        <w:rPr>
          <w:sz w:val="22"/>
        </w:rPr>
        <w:t xml:space="preserve">John </w:t>
      </w:r>
      <w:proofErr w:type="spellStart"/>
      <w:r>
        <w:rPr>
          <w:sz w:val="22"/>
        </w:rPr>
        <w:t>Mepham</w:t>
      </w:r>
      <w:proofErr w:type="spellEnd"/>
      <w:r>
        <w:rPr>
          <w:sz w:val="22"/>
        </w:rPr>
        <w:t xml:space="preserve">, “The Theory of Ideology in </w:t>
      </w:r>
      <w:r>
        <w:rPr>
          <w:i/>
          <w:sz w:val="22"/>
        </w:rPr>
        <w:t>Capital</w:t>
      </w:r>
      <w:r>
        <w:rPr>
          <w:sz w:val="22"/>
        </w:rPr>
        <w:t xml:space="preserve">” in J. </w:t>
      </w:r>
      <w:proofErr w:type="spellStart"/>
      <w:r>
        <w:rPr>
          <w:sz w:val="22"/>
        </w:rPr>
        <w:t>Mepham</w:t>
      </w:r>
      <w:proofErr w:type="spellEnd"/>
      <w:r>
        <w:rPr>
          <w:sz w:val="22"/>
        </w:rPr>
        <w:t xml:space="preserve"> and D</w:t>
      </w:r>
      <w:proofErr w:type="gramStart"/>
      <w:r>
        <w:rPr>
          <w:sz w:val="22"/>
        </w:rPr>
        <w:t>.-</w:t>
      </w:r>
      <w:proofErr w:type="gramEnd"/>
      <w:r>
        <w:rPr>
          <w:sz w:val="22"/>
        </w:rPr>
        <w:t>H. Ruben (</w:t>
      </w:r>
      <w:proofErr w:type="spellStart"/>
      <w:r>
        <w:rPr>
          <w:sz w:val="22"/>
        </w:rPr>
        <w:t>eds</w:t>
      </w:r>
      <w:proofErr w:type="spellEnd"/>
      <w:r>
        <w:rPr>
          <w:sz w:val="22"/>
        </w:rPr>
        <w:t xml:space="preserve">), </w:t>
      </w:r>
      <w:r>
        <w:rPr>
          <w:i/>
          <w:sz w:val="22"/>
        </w:rPr>
        <w:t>Issues in Marxist Philosophy III: Epistemology, Science, Ideology</w:t>
      </w:r>
      <w:r>
        <w:rPr>
          <w:sz w:val="22"/>
        </w:rPr>
        <w:t>, Brighton, The Harvester Press, 1979, p. 141-169.</w:t>
      </w:r>
    </w:p>
    <w:p w14:paraId="6CD13D24" w14:textId="77777777" w:rsidR="005242ED" w:rsidRDefault="005242ED" w:rsidP="00FC4D83">
      <w:pPr>
        <w:spacing w:before="120"/>
        <w:rPr>
          <w:b/>
          <w:sz w:val="22"/>
        </w:rPr>
      </w:pPr>
    </w:p>
    <w:p w14:paraId="5B56D9FD" w14:textId="77777777" w:rsidR="00FC4D83" w:rsidRPr="002D1BB0" w:rsidRDefault="00FC4D83" w:rsidP="00FC4D83">
      <w:pPr>
        <w:spacing w:before="120"/>
        <w:rPr>
          <w:b/>
          <w:sz w:val="22"/>
        </w:rPr>
      </w:pPr>
      <w:r w:rsidRPr="002D1BB0">
        <w:rPr>
          <w:b/>
          <w:sz w:val="22"/>
        </w:rPr>
        <w:t>Week 4: Discussion and examples</w:t>
      </w:r>
    </w:p>
    <w:p w14:paraId="2DF5AC28" w14:textId="77777777" w:rsidR="00FC4D83" w:rsidRDefault="00FC4D83">
      <w:pPr>
        <w:rPr>
          <w:sz w:val="22"/>
        </w:rPr>
      </w:pPr>
      <w:r>
        <w:rPr>
          <w:sz w:val="22"/>
        </w:rPr>
        <w:t xml:space="preserve">Georg Lukacs, </w:t>
      </w:r>
      <w:r>
        <w:rPr>
          <w:i/>
          <w:sz w:val="22"/>
        </w:rPr>
        <w:t>History and Class Consciousness</w:t>
      </w:r>
      <w:r>
        <w:rPr>
          <w:sz w:val="22"/>
        </w:rPr>
        <w:t>, London, Merlin Press, 1971, p. 83-110</w:t>
      </w:r>
    </w:p>
    <w:p w14:paraId="44DA4DED" w14:textId="77777777" w:rsidR="00FC4D83" w:rsidRPr="00F042A9" w:rsidRDefault="00FC4D83">
      <w:pPr>
        <w:rPr>
          <w:sz w:val="22"/>
        </w:rPr>
      </w:pPr>
      <w:r w:rsidRPr="00F042A9">
        <w:rPr>
          <w:sz w:val="22"/>
        </w:rPr>
        <w:t>Theodore Adorno, “Culture Industry Reconsidered” in Larry Jay (</w:t>
      </w:r>
      <w:proofErr w:type="spellStart"/>
      <w:r w:rsidRPr="00F042A9">
        <w:rPr>
          <w:sz w:val="22"/>
        </w:rPr>
        <w:t>ed</w:t>
      </w:r>
      <w:proofErr w:type="spellEnd"/>
      <w:r w:rsidRPr="00F042A9">
        <w:rPr>
          <w:sz w:val="22"/>
        </w:rPr>
        <w:t xml:space="preserve">), </w:t>
      </w:r>
      <w:r w:rsidRPr="00F042A9">
        <w:rPr>
          <w:i/>
          <w:sz w:val="22"/>
        </w:rPr>
        <w:t>Critical Sociology</w:t>
      </w:r>
      <w:r w:rsidRPr="00F042A9">
        <w:rPr>
          <w:sz w:val="22"/>
        </w:rPr>
        <w:t>, Hants, Edward Edgar, 1990, p. 131-138.</w:t>
      </w:r>
    </w:p>
    <w:p w14:paraId="05EC5D4F" w14:textId="77777777" w:rsidR="00FC4D83" w:rsidRDefault="00FC4D83">
      <w:pPr>
        <w:rPr>
          <w:sz w:val="22"/>
        </w:rPr>
      </w:pPr>
      <w:r w:rsidRPr="000D4012">
        <w:rPr>
          <w:sz w:val="22"/>
        </w:rPr>
        <w:t>Jean Baudrillard, “Consumer Society”</w:t>
      </w:r>
      <w:r>
        <w:rPr>
          <w:sz w:val="22"/>
        </w:rPr>
        <w:t xml:space="preserve"> in </w:t>
      </w:r>
      <w:r w:rsidRPr="00472BE1">
        <w:rPr>
          <w:i/>
          <w:sz w:val="22"/>
        </w:rPr>
        <w:t>Selected Writings</w:t>
      </w:r>
      <w:r>
        <w:rPr>
          <w:sz w:val="22"/>
        </w:rPr>
        <w:t xml:space="preserve">, ed. M. Poster, Cambridge/Oxford, Blackwell, 1988, p. 29-56. </w:t>
      </w:r>
    </w:p>
    <w:p w14:paraId="57C45BDE" w14:textId="77777777" w:rsidR="00FC4D83" w:rsidRDefault="00FC4D83" w:rsidP="00FC4D83">
      <w:pPr>
        <w:jc w:val="center"/>
        <w:rPr>
          <w:i/>
          <w:sz w:val="22"/>
        </w:rPr>
      </w:pPr>
      <w:r>
        <w:rPr>
          <w:i/>
          <w:sz w:val="22"/>
        </w:rPr>
        <w:t xml:space="preserve">* </w:t>
      </w:r>
      <w:r w:rsidRPr="002D1BB0">
        <w:rPr>
          <w:i/>
          <w:sz w:val="22"/>
        </w:rPr>
        <w:t>1</w:t>
      </w:r>
      <w:r w:rsidRPr="002D1BB0">
        <w:rPr>
          <w:i/>
          <w:sz w:val="22"/>
          <w:vertAlign w:val="superscript"/>
        </w:rPr>
        <w:t>st</w:t>
      </w:r>
      <w:r w:rsidRPr="002D1BB0">
        <w:rPr>
          <w:i/>
          <w:sz w:val="22"/>
        </w:rPr>
        <w:t xml:space="preserve"> response paper due</w:t>
      </w:r>
      <w:r>
        <w:rPr>
          <w:i/>
          <w:sz w:val="22"/>
        </w:rPr>
        <w:t xml:space="preserve"> *</w:t>
      </w:r>
    </w:p>
    <w:p w14:paraId="23052805" w14:textId="77777777" w:rsidR="00FC4D83" w:rsidRPr="002D1BB0" w:rsidRDefault="00FC4D83" w:rsidP="00FC4D83">
      <w:pPr>
        <w:jc w:val="center"/>
        <w:rPr>
          <w:i/>
          <w:sz w:val="22"/>
        </w:rPr>
      </w:pPr>
    </w:p>
    <w:p w14:paraId="17DD0F87" w14:textId="77777777" w:rsidR="00FC4D83" w:rsidRDefault="00FC4D83" w:rsidP="00FC4D83">
      <w:pPr>
        <w:pStyle w:val="Heading5"/>
        <w:spacing w:before="120" w:after="240"/>
        <w:rPr>
          <w:smallCaps/>
          <w:sz w:val="22"/>
        </w:rPr>
      </w:pPr>
      <w:r>
        <w:rPr>
          <w:smallCaps/>
          <w:sz w:val="22"/>
        </w:rPr>
        <w:t>2. Lacan- and Gramscı-</w:t>
      </w:r>
      <w:proofErr w:type="gramStart"/>
      <w:r>
        <w:rPr>
          <w:smallCaps/>
          <w:sz w:val="22"/>
        </w:rPr>
        <w:t>Inspıred  Theories</w:t>
      </w:r>
      <w:proofErr w:type="gramEnd"/>
      <w:r>
        <w:rPr>
          <w:smallCaps/>
          <w:sz w:val="22"/>
        </w:rPr>
        <w:t xml:space="preserve"> of Discourse</w:t>
      </w:r>
    </w:p>
    <w:p w14:paraId="16A95B01" w14:textId="77777777" w:rsidR="00FC4D83" w:rsidRDefault="00FC4D83">
      <w:pPr>
        <w:rPr>
          <w:b/>
          <w:sz w:val="22"/>
        </w:rPr>
      </w:pPr>
      <w:r>
        <w:rPr>
          <w:b/>
          <w:sz w:val="22"/>
        </w:rPr>
        <w:t>Week 5: Jacques Lacan</w:t>
      </w:r>
    </w:p>
    <w:p w14:paraId="7A14E83D" w14:textId="77777777" w:rsidR="00FC4D83" w:rsidRDefault="00FC4D83" w:rsidP="00FC4D83">
      <w:pPr>
        <w:rPr>
          <w:sz w:val="22"/>
          <w:szCs w:val="22"/>
        </w:rPr>
      </w:pPr>
      <w:r w:rsidRPr="00B920E1">
        <w:rPr>
          <w:sz w:val="22"/>
          <w:szCs w:val="22"/>
        </w:rPr>
        <w:t>Jacques Lacan, "The Mirror-phase as Formative of the Function of the I" in</w:t>
      </w:r>
      <w:r>
        <w:rPr>
          <w:sz w:val="22"/>
          <w:szCs w:val="22"/>
        </w:rPr>
        <w:t xml:space="preserve"> S.</w:t>
      </w:r>
      <w:r w:rsidRPr="00B920E1">
        <w:rPr>
          <w:sz w:val="22"/>
          <w:szCs w:val="22"/>
        </w:rPr>
        <w:t xml:space="preserve"> Zizek</w:t>
      </w:r>
      <w:r>
        <w:rPr>
          <w:sz w:val="22"/>
          <w:szCs w:val="22"/>
        </w:rPr>
        <w:t xml:space="preserve"> (</w:t>
      </w:r>
      <w:proofErr w:type="spellStart"/>
      <w:r>
        <w:rPr>
          <w:sz w:val="22"/>
          <w:szCs w:val="22"/>
        </w:rPr>
        <w:t>ed</w:t>
      </w:r>
      <w:proofErr w:type="spellEnd"/>
      <w:r>
        <w:rPr>
          <w:sz w:val="22"/>
          <w:szCs w:val="22"/>
        </w:rPr>
        <w:t>)</w:t>
      </w:r>
      <w:r w:rsidRPr="00B920E1">
        <w:rPr>
          <w:sz w:val="22"/>
          <w:szCs w:val="22"/>
        </w:rPr>
        <w:t xml:space="preserve">, </w:t>
      </w:r>
      <w:r w:rsidRPr="00B920E1">
        <w:rPr>
          <w:i/>
          <w:sz w:val="22"/>
          <w:szCs w:val="22"/>
        </w:rPr>
        <w:t>Mapping Ideology</w:t>
      </w:r>
      <w:proofErr w:type="gramStart"/>
      <w:r w:rsidRPr="00B920E1">
        <w:rPr>
          <w:sz w:val="22"/>
          <w:szCs w:val="22"/>
        </w:rPr>
        <w:t xml:space="preserve">, </w:t>
      </w:r>
      <w:r>
        <w:rPr>
          <w:sz w:val="22"/>
          <w:szCs w:val="22"/>
        </w:rPr>
        <w:t xml:space="preserve"> </w:t>
      </w:r>
      <w:r>
        <w:rPr>
          <w:sz w:val="22"/>
        </w:rPr>
        <w:t>London</w:t>
      </w:r>
      <w:proofErr w:type="gramEnd"/>
      <w:r>
        <w:rPr>
          <w:sz w:val="22"/>
        </w:rPr>
        <w:t xml:space="preserve">, Verso, 1994, </w:t>
      </w:r>
      <w:r w:rsidRPr="00B920E1">
        <w:rPr>
          <w:sz w:val="22"/>
          <w:szCs w:val="22"/>
        </w:rPr>
        <w:t>p. 93-99</w:t>
      </w:r>
    </w:p>
    <w:p w14:paraId="0F1E52D1" w14:textId="77777777" w:rsidR="00FC4D83" w:rsidRDefault="00FC4D83" w:rsidP="00FC4D83">
      <w:pPr>
        <w:pStyle w:val="Heading6"/>
        <w:rPr>
          <w:b w:val="0"/>
          <w:sz w:val="22"/>
          <w:szCs w:val="22"/>
        </w:rPr>
      </w:pPr>
      <w:r w:rsidRPr="00485B3C">
        <w:rPr>
          <w:b w:val="0"/>
          <w:sz w:val="22"/>
          <w:szCs w:val="22"/>
        </w:rPr>
        <w:t xml:space="preserve">Peter Dews, "Jacques Lacan: A Philosophical Rethinking of Freud", </w:t>
      </w:r>
      <w:r w:rsidRPr="00485B3C">
        <w:rPr>
          <w:b w:val="0"/>
          <w:i/>
          <w:sz w:val="22"/>
          <w:szCs w:val="22"/>
        </w:rPr>
        <w:t>Logics of Disintegration. Post-Structuralist Thought and the Claims of Critical Theory</w:t>
      </w:r>
      <w:r w:rsidRPr="00485B3C">
        <w:rPr>
          <w:b w:val="0"/>
          <w:sz w:val="22"/>
          <w:szCs w:val="22"/>
        </w:rPr>
        <w:t>, London, Verso, 1987, p. 45-108.</w:t>
      </w:r>
    </w:p>
    <w:p w14:paraId="195BC9B6" w14:textId="77777777" w:rsidR="00FC4D83" w:rsidRPr="00C30101" w:rsidRDefault="00FC4D83" w:rsidP="00FC4D83">
      <w:pPr>
        <w:rPr>
          <w:sz w:val="22"/>
          <w:szCs w:val="22"/>
        </w:rPr>
      </w:pPr>
      <w:r w:rsidRPr="00C30101">
        <w:rPr>
          <w:sz w:val="22"/>
          <w:szCs w:val="22"/>
        </w:rPr>
        <w:t xml:space="preserve">Darian Leader and Judy Groves, </w:t>
      </w:r>
      <w:r w:rsidRPr="00C30101">
        <w:rPr>
          <w:i/>
          <w:sz w:val="22"/>
          <w:szCs w:val="22"/>
        </w:rPr>
        <w:t>Introducing Lacan</w:t>
      </w:r>
      <w:r w:rsidRPr="00C30101">
        <w:rPr>
          <w:sz w:val="22"/>
          <w:szCs w:val="22"/>
        </w:rPr>
        <w:t xml:space="preserve">, </w:t>
      </w:r>
      <w:r>
        <w:rPr>
          <w:sz w:val="22"/>
          <w:szCs w:val="22"/>
        </w:rPr>
        <w:t>Cambridge, Icon Books, 2000.</w:t>
      </w:r>
    </w:p>
    <w:p w14:paraId="7155FDEA" w14:textId="77777777" w:rsidR="00FC4D83" w:rsidRDefault="00FC4D83">
      <w:pPr>
        <w:spacing w:after="0"/>
        <w:rPr>
          <w:sz w:val="22"/>
        </w:rPr>
      </w:pPr>
    </w:p>
    <w:p w14:paraId="0AFB000F" w14:textId="77777777" w:rsidR="00FC4D83" w:rsidRDefault="00FC4D83">
      <w:pPr>
        <w:rPr>
          <w:b/>
          <w:sz w:val="22"/>
        </w:rPr>
      </w:pPr>
      <w:r>
        <w:rPr>
          <w:b/>
          <w:sz w:val="22"/>
        </w:rPr>
        <w:t>Week 6: Louis Althusser</w:t>
      </w:r>
    </w:p>
    <w:p w14:paraId="5A3DF146" w14:textId="77777777" w:rsidR="00FC4D83" w:rsidRDefault="00FC4D83">
      <w:pPr>
        <w:rPr>
          <w:sz w:val="22"/>
        </w:rPr>
      </w:pPr>
      <w:r>
        <w:rPr>
          <w:sz w:val="22"/>
        </w:rPr>
        <w:t xml:space="preserve">Louis Althusser, "Ideology and Ideological State Apparatuses", in S. Zizek (ed.), </w:t>
      </w:r>
      <w:r>
        <w:rPr>
          <w:i/>
          <w:sz w:val="22"/>
        </w:rPr>
        <w:t>Mapping Ideology</w:t>
      </w:r>
      <w:r>
        <w:rPr>
          <w:sz w:val="22"/>
        </w:rPr>
        <w:t>, London, Verso, 1994, p. 100-140</w:t>
      </w:r>
    </w:p>
    <w:p w14:paraId="155E029E" w14:textId="77777777" w:rsidR="00FC4D83" w:rsidRDefault="00FC4D83" w:rsidP="00FC4D83">
      <w:pPr>
        <w:rPr>
          <w:sz w:val="22"/>
        </w:rPr>
      </w:pPr>
      <w:r>
        <w:rPr>
          <w:sz w:val="22"/>
        </w:rPr>
        <w:t xml:space="preserve">Jorge </w:t>
      </w:r>
      <w:proofErr w:type="spellStart"/>
      <w:r>
        <w:rPr>
          <w:sz w:val="22"/>
        </w:rPr>
        <w:t>Larrain</w:t>
      </w:r>
      <w:proofErr w:type="spellEnd"/>
      <w:r>
        <w:rPr>
          <w:sz w:val="22"/>
        </w:rPr>
        <w:t>, "Ideology and its Revisions in Contemporary Marxism" in N. O'Sullivan (</w:t>
      </w:r>
      <w:proofErr w:type="spellStart"/>
      <w:r>
        <w:rPr>
          <w:sz w:val="22"/>
        </w:rPr>
        <w:t>ed</w:t>
      </w:r>
      <w:proofErr w:type="spellEnd"/>
      <w:r>
        <w:rPr>
          <w:sz w:val="22"/>
        </w:rPr>
        <w:t xml:space="preserve">), </w:t>
      </w:r>
      <w:r>
        <w:rPr>
          <w:i/>
          <w:sz w:val="22"/>
        </w:rPr>
        <w:t>The Structure of Modern Ideology</w:t>
      </w:r>
      <w:r>
        <w:rPr>
          <w:sz w:val="22"/>
        </w:rPr>
        <w:t>, Hants, Edward Elgar, 1989, p. 91-121</w:t>
      </w:r>
    </w:p>
    <w:p w14:paraId="5297285C" w14:textId="77777777" w:rsidR="00FC4D83" w:rsidRDefault="00FC4D83" w:rsidP="00FC4D83">
      <w:pPr>
        <w:pStyle w:val="Heading6"/>
        <w:rPr>
          <w:sz w:val="22"/>
          <w:szCs w:val="22"/>
        </w:rPr>
      </w:pPr>
      <w:r>
        <w:rPr>
          <w:sz w:val="22"/>
          <w:szCs w:val="22"/>
        </w:rPr>
        <w:t>Week 7: Laclau and Mouffe</w:t>
      </w:r>
    </w:p>
    <w:p w14:paraId="0BF43DC6" w14:textId="77777777" w:rsidR="00FC4D83" w:rsidRDefault="00FC4D83" w:rsidP="00FC4D83">
      <w:pPr>
        <w:rPr>
          <w:sz w:val="22"/>
        </w:rPr>
      </w:pPr>
      <w:r>
        <w:rPr>
          <w:sz w:val="22"/>
        </w:rPr>
        <w:t xml:space="preserve">Ernesto Laclau and Chantal Mouffe, "Beyond the Positivity of the Social: Antagonisms and Hegemony", </w:t>
      </w:r>
      <w:r>
        <w:rPr>
          <w:i/>
          <w:sz w:val="22"/>
        </w:rPr>
        <w:t>Hegemony and Socialist Strategy. Towards a Radical Democratic Politics</w:t>
      </w:r>
      <w:r>
        <w:rPr>
          <w:sz w:val="22"/>
        </w:rPr>
        <w:t>, London, Verso, 1985, p. 93-148</w:t>
      </w:r>
    </w:p>
    <w:p w14:paraId="33F27B12" w14:textId="77777777" w:rsidR="00FC4D83" w:rsidRPr="00685ECA" w:rsidRDefault="00FC4D83" w:rsidP="00FC4D83">
      <w:pPr>
        <w:rPr>
          <w:sz w:val="22"/>
          <w:szCs w:val="22"/>
        </w:rPr>
      </w:pPr>
      <w:proofErr w:type="spellStart"/>
      <w:r w:rsidRPr="00AD5C2C">
        <w:rPr>
          <w:sz w:val="22"/>
          <w:szCs w:val="22"/>
        </w:rPr>
        <w:t>Michèle</w:t>
      </w:r>
      <w:proofErr w:type="spellEnd"/>
      <w:r w:rsidRPr="00AD5C2C">
        <w:rPr>
          <w:sz w:val="22"/>
          <w:szCs w:val="22"/>
        </w:rPr>
        <w:t xml:space="preserve"> Barrett, "Ideology, Politics, Hegemony: From Gramsci to Laclau and Mouffe" in </w:t>
      </w:r>
      <w:r>
        <w:rPr>
          <w:sz w:val="22"/>
        </w:rPr>
        <w:t xml:space="preserve">S. Zizek (ed.), </w:t>
      </w:r>
      <w:r>
        <w:rPr>
          <w:i/>
          <w:sz w:val="22"/>
        </w:rPr>
        <w:t>Mapping Ideology</w:t>
      </w:r>
      <w:r>
        <w:rPr>
          <w:sz w:val="22"/>
        </w:rPr>
        <w:t>, London, Verso, 1994,</w:t>
      </w:r>
      <w:r w:rsidRPr="00AD5C2C">
        <w:rPr>
          <w:sz w:val="22"/>
          <w:szCs w:val="22"/>
        </w:rPr>
        <w:t xml:space="preserve"> p. 235-264</w:t>
      </w:r>
    </w:p>
    <w:p w14:paraId="32238A4F" w14:textId="77777777" w:rsidR="005242ED" w:rsidRDefault="005242ED" w:rsidP="00FC4D83">
      <w:pPr>
        <w:pStyle w:val="Heading6"/>
        <w:spacing w:before="120"/>
        <w:rPr>
          <w:sz w:val="22"/>
          <w:szCs w:val="22"/>
        </w:rPr>
      </w:pPr>
    </w:p>
    <w:p w14:paraId="78682678" w14:textId="77777777" w:rsidR="00FC4D83" w:rsidRDefault="00FC4D83" w:rsidP="00FC4D83">
      <w:pPr>
        <w:pStyle w:val="Heading6"/>
        <w:spacing w:before="120"/>
        <w:rPr>
          <w:sz w:val="22"/>
          <w:szCs w:val="22"/>
        </w:rPr>
      </w:pPr>
      <w:r>
        <w:rPr>
          <w:sz w:val="22"/>
          <w:szCs w:val="22"/>
        </w:rPr>
        <w:t>Week 8: Discussion and examples</w:t>
      </w:r>
      <w:r w:rsidRPr="00AD5C2C">
        <w:rPr>
          <w:sz w:val="22"/>
          <w:szCs w:val="22"/>
        </w:rPr>
        <w:t xml:space="preserve"> </w:t>
      </w:r>
    </w:p>
    <w:p w14:paraId="4E98CDFE" w14:textId="77777777" w:rsidR="00FC4D83" w:rsidRPr="00F64231" w:rsidRDefault="00FC4D83" w:rsidP="00FC4D83">
      <w:pPr>
        <w:rPr>
          <w:sz w:val="22"/>
          <w:szCs w:val="22"/>
        </w:rPr>
      </w:pPr>
      <w:r>
        <w:rPr>
          <w:sz w:val="22"/>
          <w:szCs w:val="22"/>
        </w:rPr>
        <w:t xml:space="preserve">Bobby Said, “Sign </w:t>
      </w:r>
      <w:proofErr w:type="spellStart"/>
      <w:r>
        <w:rPr>
          <w:sz w:val="22"/>
          <w:szCs w:val="22"/>
        </w:rPr>
        <w:t>O’Times</w:t>
      </w:r>
      <w:proofErr w:type="spellEnd"/>
      <w:r>
        <w:rPr>
          <w:sz w:val="22"/>
          <w:szCs w:val="22"/>
        </w:rPr>
        <w:t>: Kaffirs and Infidels Fighting the Ninth Crusade” in E. Laclau (</w:t>
      </w:r>
      <w:proofErr w:type="spellStart"/>
      <w:r>
        <w:rPr>
          <w:sz w:val="22"/>
          <w:szCs w:val="22"/>
        </w:rPr>
        <w:t>ed</w:t>
      </w:r>
      <w:proofErr w:type="spellEnd"/>
      <w:r>
        <w:rPr>
          <w:sz w:val="22"/>
          <w:szCs w:val="22"/>
        </w:rPr>
        <w:t xml:space="preserve">), </w:t>
      </w:r>
      <w:r>
        <w:rPr>
          <w:i/>
          <w:sz w:val="22"/>
          <w:szCs w:val="22"/>
        </w:rPr>
        <w:t>The Making of Political Identities</w:t>
      </w:r>
      <w:r>
        <w:rPr>
          <w:sz w:val="22"/>
          <w:szCs w:val="22"/>
        </w:rPr>
        <w:t>, London, Verso, 1994, p. 264-286</w:t>
      </w:r>
    </w:p>
    <w:p w14:paraId="5723619D" w14:textId="77777777" w:rsidR="00FC4D83" w:rsidRPr="00472BE1" w:rsidRDefault="00FC4D83" w:rsidP="00FC4D83">
      <w:pPr>
        <w:pStyle w:val="Heading6"/>
        <w:rPr>
          <w:b w:val="0"/>
          <w:sz w:val="22"/>
          <w:szCs w:val="22"/>
        </w:rPr>
      </w:pPr>
      <w:proofErr w:type="spellStart"/>
      <w:r>
        <w:rPr>
          <w:b w:val="0"/>
          <w:sz w:val="22"/>
          <w:szCs w:val="22"/>
        </w:rPr>
        <w:t>Micheal</w:t>
      </w:r>
      <w:proofErr w:type="spellEnd"/>
      <w:r>
        <w:rPr>
          <w:b w:val="0"/>
          <w:sz w:val="22"/>
          <w:szCs w:val="22"/>
        </w:rPr>
        <w:t xml:space="preserve"> </w:t>
      </w:r>
      <w:proofErr w:type="gramStart"/>
      <w:r>
        <w:rPr>
          <w:b w:val="0"/>
          <w:sz w:val="22"/>
          <w:szCs w:val="22"/>
        </w:rPr>
        <w:t>Apple ,</w:t>
      </w:r>
      <w:proofErr w:type="gramEnd"/>
      <w:r>
        <w:rPr>
          <w:b w:val="0"/>
          <w:sz w:val="22"/>
          <w:szCs w:val="22"/>
        </w:rPr>
        <w:t xml:space="preserve"> “Economics and control in everyday school life” (with Nancy King), </w:t>
      </w:r>
      <w:r>
        <w:rPr>
          <w:b w:val="0"/>
          <w:i/>
          <w:sz w:val="22"/>
          <w:szCs w:val="22"/>
        </w:rPr>
        <w:t>Ideology and Curriculum</w:t>
      </w:r>
      <w:r>
        <w:rPr>
          <w:b w:val="0"/>
          <w:sz w:val="22"/>
          <w:szCs w:val="22"/>
        </w:rPr>
        <w:t>, New York/London, Routledge, 1990 (2</w:t>
      </w:r>
      <w:r w:rsidRPr="00472BE1">
        <w:rPr>
          <w:b w:val="0"/>
          <w:sz w:val="22"/>
          <w:szCs w:val="22"/>
          <w:vertAlign w:val="superscript"/>
        </w:rPr>
        <w:t>nd</w:t>
      </w:r>
      <w:r>
        <w:rPr>
          <w:b w:val="0"/>
          <w:sz w:val="22"/>
          <w:szCs w:val="22"/>
        </w:rPr>
        <w:t xml:space="preserve"> ed.), p. 43-60.</w:t>
      </w:r>
    </w:p>
    <w:p w14:paraId="0364A3CC" w14:textId="77777777" w:rsidR="00FC4D83" w:rsidRDefault="00FC4D83" w:rsidP="00FC4D83">
      <w:pPr>
        <w:rPr>
          <w:sz w:val="22"/>
          <w:szCs w:val="22"/>
        </w:rPr>
      </w:pPr>
      <w:proofErr w:type="spellStart"/>
      <w:r w:rsidRPr="00773075">
        <w:rPr>
          <w:sz w:val="22"/>
          <w:szCs w:val="22"/>
        </w:rPr>
        <w:t>Slavoj</w:t>
      </w:r>
      <w:proofErr w:type="spellEnd"/>
      <w:r w:rsidRPr="00773075">
        <w:rPr>
          <w:sz w:val="22"/>
          <w:szCs w:val="22"/>
        </w:rPr>
        <w:t xml:space="preserve"> Zizek, "Fantasy as a Political Category: A Lacanian Approach" in E. Wright and </w:t>
      </w:r>
      <w:proofErr w:type="spellStart"/>
      <w:r w:rsidRPr="00773075">
        <w:rPr>
          <w:sz w:val="22"/>
          <w:szCs w:val="22"/>
        </w:rPr>
        <w:t>E.Wright</w:t>
      </w:r>
      <w:proofErr w:type="spellEnd"/>
      <w:r w:rsidRPr="00773075">
        <w:rPr>
          <w:sz w:val="22"/>
          <w:szCs w:val="22"/>
        </w:rPr>
        <w:t xml:space="preserve">, </w:t>
      </w:r>
      <w:r w:rsidRPr="00773075">
        <w:rPr>
          <w:i/>
          <w:sz w:val="22"/>
          <w:szCs w:val="22"/>
        </w:rPr>
        <w:t>The Zizek Reader</w:t>
      </w:r>
      <w:r w:rsidRPr="00773075">
        <w:rPr>
          <w:sz w:val="22"/>
          <w:szCs w:val="22"/>
        </w:rPr>
        <w:t xml:space="preserve">, </w:t>
      </w:r>
      <w:r>
        <w:rPr>
          <w:sz w:val="22"/>
          <w:szCs w:val="22"/>
        </w:rPr>
        <w:t>Cambridge/</w:t>
      </w:r>
      <w:r w:rsidRPr="00773075">
        <w:rPr>
          <w:sz w:val="22"/>
          <w:szCs w:val="22"/>
        </w:rPr>
        <w:t>Oxford, Blackwell, 1999, p. 87-101.</w:t>
      </w:r>
    </w:p>
    <w:p w14:paraId="46EC81D4" w14:textId="77777777" w:rsidR="00FC4D83" w:rsidRDefault="00FC4D83">
      <w:pPr>
        <w:pStyle w:val="Heading5"/>
        <w:rPr>
          <w:smallCaps/>
          <w:sz w:val="22"/>
        </w:rPr>
      </w:pPr>
    </w:p>
    <w:p w14:paraId="26A810FF" w14:textId="31E67954" w:rsidR="00FC4D83" w:rsidRDefault="00FC4D83" w:rsidP="005242ED">
      <w:pPr>
        <w:jc w:val="center"/>
        <w:rPr>
          <w:i/>
        </w:rPr>
      </w:pPr>
      <w:r w:rsidRPr="00265B12">
        <w:rPr>
          <w:i/>
        </w:rPr>
        <w:t xml:space="preserve">* </w:t>
      </w:r>
      <w:r>
        <w:rPr>
          <w:i/>
        </w:rPr>
        <w:t>2</w:t>
      </w:r>
      <w:r w:rsidRPr="00F500D0">
        <w:rPr>
          <w:i/>
          <w:vertAlign w:val="superscript"/>
        </w:rPr>
        <w:t>nd</w:t>
      </w:r>
      <w:r>
        <w:rPr>
          <w:i/>
        </w:rPr>
        <w:t xml:space="preserve"> response paper due</w:t>
      </w:r>
      <w:r w:rsidRPr="00265B12">
        <w:rPr>
          <w:i/>
        </w:rPr>
        <w:t xml:space="preserve"> *</w:t>
      </w:r>
    </w:p>
    <w:p w14:paraId="71C9625B" w14:textId="77777777" w:rsidR="005242ED" w:rsidRPr="00265B12" w:rsidRDefault="005242ED" w:rsidP="005242ED">
      <w:pPr>
        <w:jc w:val="center"/>
        <w:rPr>
          <w:i/>
        </w:rPr>
      </w:pPr>
    </w:p>
    <w:p w14:paraId="18A0C8CD" w14:textId="77777777" w:rsidR="00FC4D83" w:rsidRDefault="00FC4D83" w:rsidP="00FC4D83">
      <w:pPr>
        <w:pStyle w:val="Heading5"/>
        <w:spacing w:before="120" w:after="240"/>
        <w:rPr>
          <w:smallCaps/>
          <w:sz w:val="22"/>
        </w:rPr>
      </w:pPr>
      <w:r>
        <w:rPr>
          <w:smallCaps/>
          <w:sz w:val="22"/>
        </w:rPr>
        <w:t>4. End of Ideology or Return to Ideology?</w:t>
      </w:r>
    </w:p>
    <w:p w14:paraId="6B4422DB" w14:textId="77777777" w:rsidR="00FC4D83" w:rsidRPr="00AD5C2C" w:rsidRDefault="00740F16" w:rsidP="00FC4D83">
      <w:pPr>
        <w:rPr>
          <w:b/>
          <w:sz w:val="22"/>
          <w:szCs w:val="22"/>
        </w:rPr>
      </w:pPr>
      <w:r>
        <w:rPr>
          <w:b/>
          <w:sz w:val="22"/>
          <w:szCs w:val="22"/>
        </w:rPr>
        <w:t>Week 9</w:t>
      </w:r>
      <w:r w:rsidR="00FC4D83">
        <w:rPr>
          <w:b/>
          <w:sz w:val="22"/>
          <w:szCs w:val="22"/>
        </w:rPr>
        <w:t>: Michel Foucault</w:t>
      </w:r>
    </w:p>
    <w:p w14:paraId="139F9FA3" w14:textId="77777777" w:rsidR="00393251" w:rsidRDefault="00393251" w:rsidP="00393251">
      <w:pPr>
        <w:rPr>
          <w:sz w:val="22"/>
          <w:szCs w:val="22"/>
        </w:rPr>
      </w:pPr>
      <w:r w:rsidRPr="00AD5C2C">
        <w:rPr>
          <w:sz w:val="22"/>
          <w:szCs w:val="22"/>
        </w:rPr>
        <w:t xml:space="preserve">Michel Foucault, "Truth and Power", </w:t>
      </w:r>
      <w:r w:rsidRPr="00AD5C2C">
        <w:rPr>
          <w:i/>
          <w:sz w:val="22"/>
          <w:szCs w:val="22"/>
        </w:rPr>
        <w:t>Power/Knowledge</w:t>
      </w:r>
      <w:r w:rsidRPr="00AD5C2C">
        <w:rPr>
          <w:sz w:val="22"/>
          <w:szCs w:val="22"/>
        </w:rPr>
        <w:t xml:space="preserve">, New York, Harvester </w:t>
      </w:r>
      <w:proofErr w:type="spellStart"/>
      <w:r w:rsidRPr="00AD5C2C">
        <w:rPr>
          <w:sz w:val="22"/>
          <w:szCs w:val="22"/>
        </w:rPr>
        <w:t>Wheatsheaf</w:t>
      </w:r>
      <w:proofErr w:type="spellEnd"/>
      <w:r w:rsidRPr="00AD5C2C">
        <w:rPr>
          <w:sz w:val="22"/>
          <w:szCs w:val="22"/>
        </w:rPr>
        <w:t>, 1980, p.109-133</w:t>
      </w:r>
    </w:p>
    <w:p w14:paraId="2FFA2937" w14:textId="77777777" w:rsidR="00FC4D83" w:rsidRDefault="00FC4D83" w:rsidP="00FC4D83">
      <w:pPr>
        <w:rPr>
          <w:sz w:val="22"/>
          <w:szCs w:val="22"/>
        </w:rPr>
      </w:pPr>
      <w:r w:rsidRPr="00393251">
        <w:rPr>
          <w:sz w:val="22"/>
          <w:szCs w:val="22"/>
        </w:rPr>
        <w:t xml:space="preserve">Michel Foucault, “Governmentality” in </w:t>
      </w:r>
      <w:proofErr w:type="spellStart"/>
      <w:r w:rsidRPr="00393251">
        <w:rPr>
          <w:sz w:val="22"/>
          <w:szCs w:val="22"/>
        </w:rPr>
        <w:t>G.Burchell</w:t>
      </w:r>
      <w:proofErr w:type="spellEnd"/>
      <w:r w:rsidRPr="00393251">
        <w:rPr>
          <w:sz w:val="22"/>
          <w:szCs w:val="22"/>
        </w:rPr>
        <w:t xml:space="preserve">, </w:t>
      </w:r>
      <w:proofErr w:type="spellStart"/>
      <w:r w:rsidRPr="00393251">
        <w:rPr>
          <w:sz w:val="22"/>
          <w:szCs w:val="22"/>
        </w:rPr>
        <w:t>C.Gordon</w:t>
      </w:r>
      <w:proofErr w:type="spellEnd"/>
      <w:r w:rsidRPr="00393251">
        <w:rPr>
          <w:sz w:val="22"/>
          <w:szCs w:val="22"/>
        </w:rPr>
        <w:t xml:space="preserve"> &amp; P. Miller (eds.) </w:t>
      </w:r>
      <w:r w:rsidRPr="00393251">
        <w:rPr>
          <w:i/>
          <w:sz w:val="22"/>
          <w:szCs w:val="22"/>
        </w:rPr>
        <w:t>The Foucault Effect, Studies in Governmentality,</w:t>
      </w:r>
      <w:r w:rsidRPr="00393251">
        <w:rPr>
          <w:sz w:val="22"/>
          <w:szCs w:val="22"/>
        </w:rPr>
        <w:t xml:space="preserve"> Chicago, Univ. of Chicago Press, 1991.</w:t>
      </w:r>
    </w:p>
    <w:p w14:paraId="5ADE9D32" w14:textId="29417FE0" w:rsidR="00393251" w:rsidRDefault="00FC4D83" w:rsidP="00FC4D83">
      <w:pPr>
        <w:rPr>
          <w:sz w:val="22"/>
          <w:szCs w:val="22"/>
        </w:rPr>
      </w:pPr>
      <w:r>
        <w:rPr>
          <w:sz w:val="22"/>
          <w:szCs w:val="22"/>
        </w:rPr>
        <w:t xml:space="preserve">Michel Foucault, “17 March 1976 lecture”, </w:t>
      </w:r>
      <w:r>
        <w:rPr>
          <w:i/>
          <w:sz w:val="22"/>
          <w:szCs w:val="22"/>
        </w:rPr>
        <w:t>Society Must Be Defended</w:t>
      </w:r>
      <w:r>
        <w:rPr>
          <w:sz w:val="22"/>
          <w:szCs w:val="22"/>
        </w:rPr>
        <w:t>, London, Penguin Books, 2004, p. 239-263</w:t>
      </w:r>
    </w:p>
    <w:p w14:paraId="6E7158C9" w14:textId="77777777" w:rsidR="005242ED" w:rsidRDefault="005242ED" w:rsidP="00FC4D83">
      <w:pPr>
        <w:rPr>
          <w:b/>
          <w:sz w:val="22"/>
          <w:szCs w:val="22"/>
        </w:rPr>
      </w:pPr>
    </w:p>
    <w:p w14:paraId="2AAFA13C" w14:textId="77777777" w:rsidR="00740F16" w:rsidRPr="00740F16" w:rsidRDefault="00740F16" w:rsidP="00FC4D83">
      <w:pPr>
        <w:rPr>
          <w:b/>
          <w:sz w:val="22"/>
          <w:szCs w:val="22"/>
        </w:rPr>
      </w:pPr>
      <w:r w:rsidRPr="00740F16">
        <w:rPr>
          <w:b/>
          <w:sz w:val="22"/>
          <w:szCs w:val="22"/>
        </w:rPr>
        <w:t>Week 10: Judith Butler</w:t>
      </w:r>
    </w:p>
    <w:p w14:paraId="2EC93BB0" w14:textId="0226A197" w:rsidR="00740F16" w:rsidRDefault="00D56A90" w:rsidP="00FC4D83">
      <w:pPr>
        <w:rPr>
          <w:sz w:val="22"/>
          <w:szCs w:val="22"/>
        </w:rPr>
      </w:pPr>
      <w:r>
        <w:rPr>
          <w:sz w:val="22"/>
          <w:szCs w:val="22"/>
        </w:rPr>
        <w:t xml:space="preserve">Judith Butler, </w:t>
      </w:r>
      <w:r w:rsidR="00393251" w:rsidRPr="00D56A90">
        <w:rPr>
          <w:i/>
          <w:sz w:val="22"/>
          <w:szCs w:val="22"/>
        </w:rPr>
        <w:t>Gender Trouble</w:t>
      </w:r>
      <w:r>
        <w:rPr>
          <w:sz w:val="22"/>
          <w:szCs w:val="22"/>
        </w:rPr>
        <w:t xml:space="preserve">. </w:t>
      </w:r>
      <w:r w:rsidRPr="00D56A90">
        <w:rPr>
          <w:i/>
          <w:sz w:val="22"/>
          <w:szCs w:val="22"/>
        </w:rPr>
        <w:t>Feminism and the Subversion of Identity</w:t>
      </w:r>
      <w:r>
        <w:rPr>
          <w:sz w:val="22"/>
          <w:szCs w:val="22"/>
        </w:rPr>
        <w:t xml:space="preserve">, </w:t>
      </w:r>
      <w:proofErr w:type="spellStart"/>
      <w:r>
        <w:rPr>
          <w:sz w:val="22"/>
          <w:szCs w:val="22"/>
        </w:rPr>
        <w:t>NY&amp;London</w:t>
      </w:r>
      <w:proofErr w:type="spellEnd"/>
      <w:r>
        <w:rPr>
          <w:sz w:val="22"/>
          <w:szCs w:val="22"/>
        </w:rPr>
        <w:t xml:space="preserve">: Routledge, 1999, p. </w:t>
      </w:r>
      <w:r w:rsidR="000433FA">
        <w:rPr>
          <w:sz w:val="22"/>
          <w:szCs w:val="22"/>
        </w:rPr>
        <w:t>171-180</w:t>
      </w:r>
      <w:r>
        <w:rPr>
          <w:sz w:val="22"/>
          <w:szCs w:val="22"/>
        </w:rPr>
        <w:t>.</w:t>
      </w:r>
    </w:p>
    <w:p w14:paraId="597C5945" w14:textId="3177672A" w:rsidR="00A03231" w:rsidRPr="004E4E98" w:rsidRDefault="00A03231" w:rsidP="00FC4D83">
      <w:pPr>
        <w:rPr>
          <w:sz w:val="22"/>
          <w:szCs w:val="22"/>
        </w:rPr>
      </w:pPr>
      <w:r>
        <w:rPr>
          <w:sz w:val="22"/>
          <w:szCs w:val="22"/>
        </w:rPr>
        <w:t xml:space="preserve">Judith Butler, </w:t>
      </w:r>
      <w:r w:rsidR="004E4E98">
        <w:rPr>
          <w:i/>
          <w:sz w:val="22"/>
          <w:szCs w:val="22"/>
        </w:rPr>
        <w:t>Psychic Life of Power. Theories in Subjection</w:t>
      </w:r>
      <w:r w:rsidR="004E4E98">
        <w:rPr>
          <w:sz w:val="22"/>
          <w:szCs w:val="22"/>
        </w:rPr>
        <w:t>, Stanford, Stanford UP, 1997,</w:t>
      </w:r>
      <w:r w:rsidR="006A14B0">
        <w:rPr>
          <w:i/>
          <w:sz w:val="22"/>
          <w:szCs w:val="22"/>
        </w:rPr>
        <w:t xml:space="preserve"> </w:t>
      </w:r>
      <w:r w:rsidR="006A14B0" w:rsidRPr="004E4E98">
        <w:rPr>
          <w:sz w:val="22"/>
          <w:szCs w:val="22"/>
        </w:rPr>
        <w:t>p. 1-30.</w:t>
      </w:r>
    </w:p>
    <w:p w14:paraId="18699A44" w14:textId="443CB812" w:rsidR="00740F16" w:rsidRDefault="004713CB" w:rsidP="00FC4D83">
      <w:pPr>
        <w:rPr>
          <w:sz w:val="22"/>
          <w:szCs w:val="22"/>
        </w:rPr>
      </w:pPr>
      <w:r w:rsidRPr="004713CB">
        <w:rPr>
          <w:sz w:val="22"/>
          <w:szCs w:val="22"/>
        </w:rPr>
        <w:t xml:space="preserve">David </w:t>
      </w:r>
      <w:r w:rsidR="008F32F6" w:rsidRPr="004713CB">
        <w:rPr>
          <w:sz w:val="22"/>
          <w:szCs w:val="22"/>
        </w:rPr>
        <w:t xml:space="preserve">Stern, </w:t>
      </w:r>
      <w:r w:rsidRPr="004713CB">
        <w:rPr>
          <w:sz w:val="22"/>
          <w:szCs w:val="22"/>
        </w:rPr>
        <w:t xml:space="preserve">“The return of the subject? </w:t>
      </w:r>
      <w:proofErr w:type="gramStart"/>
      <w:r w:rsidRPr="004713CB">
        <w:rPr>
          <w:sz w:val="22"/>
          <w:szCs w:val="22"/>
        </w:rPr>
        <w:t xml:space="preserve">Power, reflexivity and agency”, </w:t>
      </w:r>
      <w:r w:rsidRPr="004713CB">
        <w:rPr>
          <w:i/>
          <w:sz w:val="22"/>
          <w:szCs w:val="22"/>
        </w:rPr>
        <w:t>Philosophy and Social Criticism</w:t>
      </w:r>
      <w:r w:rsidRPr="004713CB">
        <w:rPr>
          <w:sz w:val="22"/>
          <w:szCs w:val="22"/>
        </w:rPr>
        <w:t>, Vol. 26 (5), 2000, p. 109-122.</w:t>
      </w:r>
      <w:proofErr w:type="gramEnd"/>
    </w:p>
    <w:p w14:paraId="16EFF776" w14:textId="77777777" w:rsidR="008F32F6" w:rsidRDefault="008F32F6" w:rsidP="00FC4D83">
      <w:pPr>
        <w:rPr>
          <w:sz w:val="22"/>
          <w:szCs w:val="22"/>
        </w:rPr>
      </w:pPr>
    </w:p>
    <w:p w14:paraId="264FE744" w14:textId="5AFE723C" w:rsidR="00740F16" w:rsidRPr="00740F16" w:rsidRDefault="00740F16" w:rsidP="00FC4D83">
      <w:pPr>
        <w:rPr>
          <w:b/>
          <w:sz w:val="22"/>
          <w:szCs w:val="22"/>
        </w:rPr>
      </w:pPr>
      <w:r w:rsidRPr="00740F16">
        <w:rPr>
          <w:b/>
          <w:sz w:val="22"/>
          <w:szCs w:val="22"/>
        </w:rPr>
        <w:t xml:space="preserve">Week 11: </w:t>
      </w:r>
      <w:r>
        <w:rPr>
          <w:b/>
          <w:sz w:val="22"/>
          <w:szCs w:val="22"/>
        </w:rPr>
        <w:t>Late Frankfurt School</w:t>
      </w:r>
    </w:p>
    <w:p w14:paraId="41F06085" w14:textId="0A8CA8E6" w:rsidR="00CC7441" w:rsidRDefault="00CC7441" w:rsidP="005242ED">
      <w:pPr>
        <w:rPr>
          <w:sz w:val="22"/>
          <w:szCs w:val="22"/>
        </w:rPr>
      </w:pPr>
      <w:r>
        <w:rPr>
          <w:sz w:val="22"/>
          <w:szCs w:val="22"/>
        </w:rPr>
        <w:t xml:space="preserve">Christophe </w:t>
      </w:r>
      <w:proofErr w:type="spellStart"/>
      <w:r>
        <w:rPr>
          <w:sz w:val="22"/>
          <w:szCs w:val="22"/>
        </w:rPr>
        <w:t>Menke</w:t>
      </w:r>
      <w:proofErr w:type="spellEnd"/>
      <w:r>
        <w:rPr>
          <w:sz w:val="22"/>
          <w:szCs w:val="22"/>
        </w:rPr>
        <w:t xml:space="preserve">, </w:t>
      </w:r>
      <w:r w:rsidR="004713CB">
        <w:rPr>
          <w:sz w:val="22"/>
          <w:szCs w:val="22"/>
        </w:rPr>
        <w:t>“Critique and Self-</w:t>
      </w:r>
      <w:proofErr w:type="spellStart"/>
      <w:r w:rsidR="004713CB">
        <w:rPr>
          <w:sz w:val="22"/>
          <w:szCs w:val="22"/>
        </w:rPr>
        <w:t>Reflexion</w:t>
      </w:r>
      <w:proofErr w:type="spellEnd"/>
      <w:r w:rsidR="004713CB">
        <w:rPr>
          <w:sz w:val="22"/>
          <w:szCs w:val="22"/>
        </w:rPr>
        <w:t xml:space="preserve">: The Problematization of Morality”, </w:t>
      </w:r>
      <w:r w:rsidR="004713CB" w:rsidRPr="004713CB">
        <w:rPr>
          <w:i/>
          <w:sz w:val="22"/>
          <w:szCs w:val="22"/>
        </w:rPr>
        <w:t>Constellations</w:t>
      </w:r>
      <w:r w:rsidR="004713CB">
        <w:rPr>
          <w:sz w:val="22"/>
          <w:szCs w:val="22"/>
        </w:rPr>
        <w:t>, Vol. 7(1), 2000.</w:t>
      </w:r>
    </w:p>
    <w:p w14:paraId="6B1F7C0A" w14:textId="77777777" w:rsidR="005242ED" w:rsidRDefault="005242ED" w:rsidP="005242ED">
      <w:pPr>
        <w:rPr>
          <w:sz w:val="22"/>
          <w:szCs w:val="22"/>
        </w:rPr>
      </w:pPr>
      <w:proofErr w:type="spellStart"/>
      <w:r>
        <w:rPr>
          <w:sz w:val="22"/>
          <w:szCs w:val="22"/>
        </w:rPr>
        <w:t>Rahel</w:t>
      </w:r>
      <w:proofErr w:type="spellEnd"/>
      <w:r>
        <w:rPr>
          <w:sz w:val="22"/>
          <w:szCs w:val="22"/>
        </w:rPr>
        <w:t xml:space="preserve"> </w:t>
      </w:r>
      <w:proofErr w:type="spellStart"/>
      <w:r>
        <w:rPr>
          <w:sz w:val="22"/>
          <w:szCs w:val="22"/>
        </w:rPr>
        <w:t>Jaeggi</w:t>
      </w:r>
      <w:proofErr w:type="spellEnd"/>
      <w:r>
        <w:rPr>
          <w:sz w:val="22"/>
          <w:szCs w:val="22"/>
        </w:rPr>
        <w:t xml:space="preserve">, “Rethinking Ideology” in B. de Bruin et al. (eds.), </w:t>
      </w:r>
      <w:r w:rsidRPr="00965563">
        <w:rPr>
          <w:i/>
          <w:sz w:val="22"/>
          <w:szCs w:val="22"/>
        </w:rPr>
        <w:t>New Waves in Political Philosophy</w:t>
      </w:r>
      <w:r>
        <w:rPr>
          <w:sz w:val="22"/>
          <w:szCs w:val="22"/>
        </w:rPr>
        <w:t>, Palgrave Macmillan, 2009, p. 63-86.</w:t>
      </w:r>
    </w:p>
    <w:p w14:paraId="76A56D92" w14:textId="77777777" w:rsidR="004713CB" w:rsidRDefault="004713CB" w:rsidP="004713CB">
      <w:pPr>
        <w:rPr>
          <w:sz w:val="22"/>
          <w:szCs w:val="22"/>
        </w:rPr>
      </w:pPr>
      <w:r>
        <w:rPr>
          <w:sz w:val="22"/>
          <w:szCs w:val="22"/>
        </w:rPr>
        <w:t xml:space="preserve">Michael Saar, “Power and Critique,” </w:t>
      </w:r>
      <w:r>
        <w:rPr>
          <w:i/>
          <w:sz w:val="22"/>
          <w:szCs w:val="22"/>
        </w:rPr>
        <w:t>Journal of Power</w:t>
      </w:r>
      <w:r>
        <w:rPr>
          <w:sz w:val="22"/>
          <w:szCs w:val="22"/>
        </w:rPr>
        <w:t>, Vol. 3(1), 2010, p. 7-20.</w:t>
      </w:r>
    </w:p>
    <w:p w14:paraId="036EF83B" w14:textId="77777777" w:rsidR="00555FB3" w:rsidRDefault="00555FB3" w:rsidP="00FC4D83">
      <w:pPr>
        <w:rPr>
          <w:b/>
          <w:sz w:val="22"/>
          <w:szCs w:val="22"/>
        </w:rPr>
      </w:pPr>
    </w:p>
    <w:p w14:paraId="32E69C43" w14:textId="77777777" w:rsidR="00740F16" w:rsidRPr="00740F16" w:rsidRDefault="00740F16" w:rsidP="00FC4D83">
      <w:pPr>
        <w:rPr>
          <w:b/>
          <w:sz w:val="22"/>
          <w:szCs w:val="22"/>
        </w:rPr>
      </w:pPr>
      <w:r w:rsidRPr="00740F16">
        <w:rPr>
          <w:b/>
          <w:sz w:val="22"/>
          <w:szCs w:val="22"/>
        </w:rPr>
        <w:t>Week 12: Discussion and examples</w:t>
      </w:r>
    </w:p>
    <w:p w14:paraId="708AF3A5" w14:textId="77777777" w:rsidR="00FC4D83" w:rsidRDefault="00FC4D83" w:rsidP="00FC4D83">
      <w:pPr>
        <w:rPr>
          <w:sz w:val="22"/>
          <w:szCs w:val="22"/>
        </w:rPr>
      </w:pPr>
      <w:r>
        <w:rPr>
          <w:sz w:val="22"/>
          <w:szCs w:val="22"/>
        </w:rPr>
        <w:t xml:space="preserve">Timothy Mitchell, “Enframing”, </w:t>
      </w:r>
      <w:r>
        <w:rPr>
          <w:i/>
          <w:sz w:val="22"/>
          <w:szCs w:val="22"/>
        </w:rPr>
        <w:t>Colonizing Egypt</w:t>
      </w:r>
      <w:r>
        <w:rPr>
          <w:sz w:val="22"/>
          <w:szCs w:val="22"/>
        </w:rPr>
        <w:t xml:space="preserve">, Berkeley, University of California Press, 1991, </w:t>
      </w:r>
      <w:r w:rsidRPr="00D5227F">
        <w:rPr>
          <w:sz w:val="22"/>
          <w:szCs w:val="22"/>
        </w:rPr>
        <w:t>p. 34-62</w:t>
      </w:r>
    </w:p>
    <w:p w14:paraId="00045DC4" w14:textId="77777777" w:rsidR="00A03231" w:rsidRPr="0075501B" w:rsidRDefault="00A03231" w:rsidP="00A03231">
      <w:pPr>
        <w:rPr>
          <w:sz w:val="22"/>
          <w:szCs w:val="22"/>
        </w:rPr>
      </w:pPr>
      <w:r>
        <w:rPr>
          <w:sz w:val="22"/>
          <w:szCs w:val="22"/>
        </w:rPr>
        <w:t xml:space="preserve">Judith Butler, “Sexual Politics, torture, and secular time”, </w:t>
      </w:r>
      <w:r w:rsidRPr="005242ED">
        <w:rPr>
          <w:i/>
          <w:sz w:val="22"/>
          <w:szCs w:val="22"/>
        </w:rPr>
        <w:t>British Journal of Sociology</w:t>
      </w:r>
      <w:r>
        <w:rPr>
          <w:sz w:val="22"/>
          <w:szCs w:val="22"/>
        </w:rPr>
        <w:t>, Vol. 59 (1), 2008, p. 1-23</w:t>
      </w:r>
    </w:p>
    <w:p w14:paraId="33FD3884" w14:textId="4E900C62" w:rsidR="00A03231" w:rsidRPr="00775616" w:rsidRDefault="00775616" w:rsidP="00FC4D83">
      <w:pPr>
        <w:rPr>
          <w:sz w:val="22"/>
          <w:szCs w:val="22"/>
        </w:rPr>
      </w:pPr>
      <w:r>
        <w:rPr>
          <w:sz w:val="22"/>
          <w:szCs w:val="22"/>
        </w:rPr>
        <w:t xml:space="preserve">Martin Hartmann and Axel Honneth, “Paradoxes of Capitalism”, </w:t>
      </w:r>
      <w:r>
        <w:rPr>
          <w:i/>
          <w:sz w:val="22"/>
          <w:szCs w:val="22"/>
        </w:rPr>
        <w:t>Constellations</w:t>
      </w:r>
      <w:r>
        <w:rPr>
          <w:sz w:val="22"/>
          <w:szCs w:val="22"/>
        </w:rPr>
        <w:t>, Vol. 13(1), 2006, p. 41-58.</w:t>
      </w:r>
    </w:p>
    <w:p w14:paraId="3508F811" w14:textId="77777777" w:rsidR="0083163F" w:rsidRPr="0083163F" w:rsidRDefault="0083163F" w:rsidP="00FC4D83">
      <w:pPr>
        <w:rPr>
          <w:sz w:val="22"/>
          <w:szCs w:val="22"/>
        </w:rPr>
      </w:pPr>
    </w:p>
    <w:p w14:paraId="52BDF2F9" w14:textId="77777777" w:rsidR="00FC4D83" w:rsidRPr="0019008E" w:rsidRDefault="00FC4D83" w:rsidP="00FC4D83">
      <w:pPr>
        <w:rPr>
          <w:b/>
          <w:sz w:val="22"/>
          <w:szCs w:val="22"/>
        </w:rPr>
      </w:pPr>
      <w:r w:rsidRPr="0019008E">
        <w:rPr>
          <w:b/>
          <w:sz w:val="22"/>
          <w:szCs w:val="22"/>
        </w:rPr>
        <w:t>Week 13: General discussion and examples</w:t>
      </w:r>
    </w:p>
    <w:p w14:paraId="325716E2" w14:textId="77777777" w:rsidR="00FC4D83" w:rsidRPr="00F31693" w:rsidRDefault="00FC4D83" w:rsidP="00A03231">
      <w:pPr>
        <w:jc w:val="left"/>
        <w:rPr>
          <w:sz w:val="22"/>
          <w:szCs w:val="22"/>
        </w:rPr>
      </w:pPr>
    </w:p>
    <w:p w14:paraId="52159F76" w14:textId="77777777" w:rsidR="00FC4D83" w:rsidRDefault="00FC4D83" w:rsidP="00FC4D83">
      <w:pPr>
        <w:jc w:val="center"/>
        <w:rPr>
          <w:i/>
          <w:sz w:val="22"/>
          <w:szCs w:val="22"/>
        </w:rPr>
      </w:pPr>
      <w:r w:rsidRPr="00A1437C">
        <w:rPr>
          <w:i/>
          <w:sz w:val="22"/>
          <w:szCs w:val="22"/>
        </w:rPr>
        <w:t>* Term Paper due *</w:t>
      </w:r>
    </w:p>
    <w:p w14:paraId="22935706" w14:textId="77777777" w:rsidR="00740F16" w:rsidRDefault="00740F16" w:rsidP="00FC4D83">
      <w:pPr>
        <w:jc w:val="center"/>
        <w:rPr>
          <w:i/>
          <w:sz w:val="22"/>
          <w:szCs w:val="22"/>
        </w:rPr>
      </w:pPr>
    </w:p>
    <w:p w14:paraId="097E3CE7" w14:textId="77777777" w:rsidR="00740F16" w:rsidRDefault="00740F16" w:rsidP="00FC4D83">
      <w:pPr>
        <w:jc w:val="center"/>
        <w:rPr>
          <w:i/>
          <w:sz w:val="22"/>
          <w:szCs w:val="22"/>
        </w:rPr>
        <w:sectPr w:rsidR="00740F16" w:rsidSect="00FC4D83">
          <w:headerReference w:type="even" r:id="rId8"/>
          <w:headerReference w:type="default" r:id="rId9"/>
          <w:pgSz w:w="11906" w:h="16838"/>
          <w:pgMar w:top="1417" w:right="1417" w:bottom="1417" w:left="1417" w:header="708" w:footer="708" w:gutter="0"/>
          <w:cols w:space="708"/>
          <w:titlePg/>
        </w:sectPr>
      </w:pPr>
    </w:p>
    <w:p w14:paraId="4AF3147A" w14:textId="77777777" w:rsidR="00740F16" w:rsidRPr="002A58B5" w:rsidRDefault="00740F16" w:rsidP="00740F16">
      <w:pPr>
        <w:pStyle w:val="FootnoteText"/>
        <w:rPr>
          <w:rFonts w:ascii="Times New Roman" w:hAnsi="Times New Roman"/>
          <w:b/>
          <w:sz w:val="22"/>
          <w:szCs w:val="22"/>
          <w:lang w:val="en-US"/>
        </w:rPr>
      </w:pPr>
    </w:p>
    <w:p w14:paraId="6A656CC0" w14:textId="77777777" w:rsidR="00740F16" w:rsidRPr="002A58B5" w:rsidRDefault="00740F16" w:rsidP="00740F16">
      <w:pPr>
        <w:pStyle w:val="FootnoteText"/>
        <w:ind w:left="2124" w:firstLine="708"/>
        <w:rPr>
          <w:rFonts w:ascii="Times New Roman" w:hAnsi="Times New Roman"/>
          <w:b/>
          <w:sz w:val="22"/>
          <w:szCs w:val="22"/>
          <w:lang w:val="en-US"/>
        </w:rPr>
      </w:pPr>
      <w:r w:rsidRPr="002A58B5">
        <w:rPr>
          <w:rFonts w:ascii="Times New Roman" w:hAnsi="Times New Roman"/>
          <w:b/>
          <w:sz w:val="22"/>
          <w:szCs w:val="22"/>
          <w:lang w:val="en-US"/>
        </w:rPr>
        <w:t xml:space="preserve">    </w:t>
      </w:r>
      <w:r w:rsidR="00161162">
        <w:rPr>
          <w:rFonts w:ascii="Times New Roman" w:hAnsi="Times New Roman"/>
          <w:b/>
          <w:noProof/>
          <w:sz w:val="22"/>
          <w:szCs w:val="22"/>
          <w:lang w:val="en-US" w:eastAsia="en-US"/>
        </w:rPr>
        <w:drawing>
          <wp:inline distT="0" distB="0" distL="0" distR="0" wp14:anchorId="25D08F9E" wp14:editId="4D22578C">
            <wp:extent cx="1715770" cy="1715770"/>
            <wp:effectExtent l="0" t="0" r="11430" b="0"/>
            <wp:docPr id="1" name="Picture 1" descr="MCj0434750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Cj04347500000[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15770" cy="1715770"/>
                    </a:xfrm>
                    <a:prstGeom prst="rect">
                      <a:avLst/>
                    </a:prstGeom>
                    <a:noFill/>
                    <a:ln>
                      <a:noFill/>
                    </a:ln>
                  </pic:spPr>
                </pic:pic>
              </a:graphicData>
            </a:graphic>
          </wp:inline>
        </w:drawing>
      </w:r>
    </w:p>
    <w:p w14:paraId="5009F92F" w14:textId="77777777" w:rsidR="00740F16" w:rsidRPr="002A58B5" w:rsidRDefault="00740F16" w:rsidP="00740F16">
      <w:pPr>
        <w:jc w:val="center"/>
        <w:rPr>
          <w:b/>
          <w:smallCaps/>
          <w:sz w:val="22"/>
          <w:szCs w:val="22"/>
        </w:rPr>
      </w:pPr>
    </w:p>
    <w:p w14:paraId="29A96E72" w14:textId="77777777" w:rsidR="00740F16" w:rsidRPr="002A58B5" w:rsidRDefault="00740F16" w:rsidP="00740F16">
      <w:pPr>
        <w:jc w:val="center"/>
        <w:rPr>
          <w:b/>
          <w:smallCaps/>
          <w:szCs w:val="24"/>
        </w:rPr>
      </w:pPr>
      <w:r w:rsidRPr="002A58B5">
        <w:rPr>
          <w:b/>
          <w:smallCaps/>
          <w:szCs w:val="24"/>
        </w:rPr>
        <w:t>Academic Honesty</w:t>
      </w:r>
    </w:p>
    <w:p w14:paraId="63FED43E" w14:textId="77777777" w:rsidR="00740F16" w:rsidRPr="002A58B5" w:rsidRDefault="00740F16" w:rsidP="00740F16">
      <w:pPr>
        <w:rPr>
          <w:sz w:val="22"/>
          <w:szCs w:val="22"/>
        </w:rPr>
      </w:pPr>
    </w:p>
    <w:p w14:paraId="42213DA4" w14:textId="77777777" w:rsidR="00740F16" w:rsidRPr="002A58B5" w:rsidRDefault="00740F16" w:rsidP="00740F16">
      <w:pPr>
        <w:rPr>
          <w:szCs w:val="24"/>
        </w:rPr>
      </w:pPr>
      <w:r w:rsidRPr="002A58B5">
        <w:rPr>
          <w:szCs w:val="24"/>
        </w:rPr>
        <w:t xml:space="preserve">The Department of </w:t>
      </w:r>
      <w:proofErr w:type="gramStart"/>
      <w:r w:rsidRPr="002A58B5">
        <w:rPr>
          <w:szCs w:val="24"/>
        </w:rPr>
        <w:t>Political Science</w:t>
      </w:r>
      <w:proofErr w:type="gramEnd"/>
      <w:r w:rsidRPr="002A58B5">
        <w:rPr>
          <w:szCs w:val="24"/>
        </w:rPr>
        <w:t xml:space="preserve"> and International Relations has the following rules and regulations regarding academic honesty.</w:t>
      </w:r>
    </w:p>
    <w:p w14:paraId="1046A4BB" w14:textId="77777777" w:rsidR="00740F16" w:rsidRPr="002A58B5" w:rsidRDefault="00740F16" w:rsidP="00740F16">
      <w:pPr>
        <w:numPr>
          <w:ilvl w:val="0"/>
          <w:numId w:val="13"/>
        </w:numPr>
        <w:spacing w:after="60"/>
        <w:ind w:hanging="357"/>
        <w:jc w:val="left"/>
        <w:rPr>
          <w:szCs w:val="24"/>
        </w:rPr>
      </w:pPr>
      <w:r w:rsidRPr="002A58B5">
        <w:rPr>
          <w:szCs w:val="24"/>
        </w:rPr>
        <w:t>Copying work from others or giving and receiving answers/information during exams either in written or oral form constitutes cheating.</w:t>
      </w:r>
    </w:p>
    <w:p w14:paraId="012A5FD9" w14:textId="77777777" w:rsidR="00740F16" w:rsidRPr="002A58B5" w:rsidRDefault="00740F16" w:rsidP="00740F16">
      <w:pPr>
        <w:numPr>
          <w:ilvl w:val="0"/>
          <w:numId w:val="13"/>
        </w:numPr>
        <w:spacing w:after="60"/>
        <w:ind w:hanging="357"/>
        <w:jc w:val="left"/>
        <w:rPr>
          <w:szCs w:val="24"/>
        </w:rPr>
      </w:pPr>
      <w:r w:rsidRPr="002A58B5">
        <w:rPr>
          <w:szCs w:val="24"/>
        </w:rPr>
        <w:t xml:space="preserve">Submitting take-home exams and papers of others as your own, using sentences or paragraphs from another author without the proper acknowledgement of the original author, insufficient acknowledgement of the consulted works in the bibliography, all constitute plagiarism. For further guidelines, you can consult: </w:t>
      </w:r>
      <w:hyperlink r:id="rId11" w:history="1">
        <w:r w:rsidRPr="002A58B5">
          <w:rPr>
            <w:rStyle w:val="Hyperlink"/>
            <w:szCs w:val="24"/>
          </w:rPr>
          <w:t>http://web.gc.cuny.edu/provost/pdf/AvoidingPlagiarism.pdf</w:t>
        </w:r>
      </w:hyperlink>
    </w:p>
    <w:p w14:paraId="51ABA700" w14:textId="77777777" w:rsidR="00740F16" w:rsidRPr="002A58B5" w:rsidRDefault="00740F16" w:rsidP="00740F16">
      <w:pPr>
        <w:numPr>
          <w:ilvl w:val="0"/>
          <w:numId w:val="13"/>
        </w:numPr>
        <w:spacing w:after="60"/>
        <w:ind w:hanging="357"/>
        <w:jc w:val="left"/>
        <w:rPr>
          <w:szCs w:val="24"/>
        </w:rPr>
      </w:pPr>
      <w:r w:rsidRPr="002A58B5">
        <w:rPr>
          <w:szCs w:val="24"/>
        </w:rPr>
        <w:t>Plagiarism and cheating are serious offenses and will result in:</w:t>
      </w:r>
    </w:p>
    <w:p w14:paraId="41329A6B" w14:textId="77777777" w:rsidR="00740F16" w:rsidRPr="002A58B5" w:rsidRDefault="00740F16" w:rsidP="00740F16">
      <w:pPr>
        <w:numPr>
          <w:ilvl w:val="0"/>
          <w:numId w:val="14"/>
        </w:numPr>
        <w:spacing w:after="60"/>
        <w:ind w:hanging="357"/>
        <w:jc w:val="left"/>
        <w:rPr>
          <w:szCs w:val="24"/>
        </w:rPr>
      </w:pPr>
      <w:proofErr w:type="gramStart"/>
      <w:r w:rsidRPr="002A58B5">
        <w:rPr>
          <w:szCs w:val="24"/>
        </w:rPr>
        <w:t>an</w:t>
      </w:r>
      <w:proofErr w:type="gramEnd"/>
      <w:r w:rsidRPr="002A58B5">
        <w:rPr>
          <w:szCs w:val="24"/>
        </w:rPr>
        <w:t xml:space="preserve"> automatic F in the assignment or the exam,</w:t>
      </w:r>
    </w:p>
    <w:p w14:paraId="4D5AE3FF" w14:textId="77777777" w:rsidR="00740F16" w:rsidRPr="002A58B5" w:rsidRDefault="00740F16" w:rsidP="00740F16">
      <w:pPr>
        <w:numPr>
          <w:ilvl w:val="0"/>
          <w:numId w:val="14"/>
        </w:numPr>
        <w:spacing w:after="60"/>
        <w:ind w:hanging="357"/>
        <w:jc w:val="left"/>
        <w:rPr>
          <w:szCs w:val="24"/>
        </w:rPr>
      </w:pPr>
      <w:proofErr w:type="gramStart"/>
      <w:r w:rsidRPr="002A58B5">
        <w:rPr>
          <w:szCs w:val="24"/>
        </w:rPr>
        <w:t>an</w:t>
      </w:r>
      <w:proofErr w:type="gramEnd"/>
      <w:r w:rsidRPr="002A58B5">
        <w:rPr>
          <w:szCs w:val="24"/>
        </w:rPr>
        <w:t xml:space="preserve"> oral explanation before the Departmental Ethics Committee,</w:t>
      </w:r>
    </w:p>
    <w:p w14:paraId="32E98168" w14:textId="77777777" w:rsidR="00740F16" w:rsidRPr="002A58B5" w:rsidRDefault="00740F16" w:rsidP="00740F16">
      <w:pPr>
        <w:numPr>
          <w:ilvl w:val="0"/>
          <w:numId w:val="14"/>
        </w:numPr>
        <w:spacing w:after="60"/>
        <w:ind w:hanging="357"/>
        <w:jc w:val="left"/>
        <w:rPr>
          <w:szCs w:val="24"/>
        </w:rPr>
      </w:pPr>
      <w:proofErr w:type="gramStart"/>
      <w:r w:rsidRPr="002A58B5">
        <w:rPr>
          <w:szCs w:val="24"/>
        </w:rPr>
        <w:t>losing</w:t>
      </w:r>
      <w:proofErr w:type="gramEnd"/>
      <w:r w:rsidRPr="002A58B5">
        <w:rPr>
          <w:szCs w:val="24"/>
        </w:rPr>
        <w:t xml:space="preserve"> the opportunity to request and receive any references from the entire faculty,</w:t>
      </w:r>
    </w:p>
    <w:p w14:paraId="43164F78" w14:textId="77777777" w:rsidR="00740F16" w:rsidRPr="002A58B5" w:rsidRDefault="00740F16" w:rsidP="00740F16">
      <w:pPr>
        <w:numPr>
          <w:ilvl w:val="0"/>
          <w:numId w:val="14"/>
        </w:numPr>
        <w:spacing w:after="60"/>
        <w:ind w:hanging="357"/>
        <w:jc w:val="left"/>
        <w:rPr>
          <w:szCs w:val="24"/>
        </w:rPr>
      </w:pPr>
      <w:proofErr w:type="gramStart"/>
      <w:r w:rsidRPr="002A58B5">
        <w:rPr>
          <w:szCs w:val="24"/>
        </w:rPr>
        <w:t>losing</w:t>
      </w:r>
      <w:proofErr w:type="gramEnd"/>
      <w:r w:rsidRPr="002A58B5">
        <w:rPr>
          <w:szCs w:val="24"/>
        </w:rPr>
        <w:t xml:space="preserve"> the opportunity to apply in exchange programs,</w:t>
      </w:r>
    </w:p>
    <w:p w14:paraId="49F37C85" w14:textId="77777777" w:rsidR="00740F16" w:rsidRPr="002A58B5" w:rsidRDefault="00740F16" w:rsidP="00740F16">
      <w:pPr>
        <w:numPr>
          <w:ilvl w:val="0"/>
          <w:numId w:val="14"/>
        </w:numPr>
        <w:spacing w:after="60"/>
        <w:ind w:hanging="357"/>
        <w:jc w:val="left"/>
        <w:rPr>
          <w:szCs w:val="24"/>
        </w:rPr>
      </w:pPr>
      <w:proofErr w:type="gramStart"/>
      <w:r w:rsidRPr="002A58B5">
        <w:rPr>
          <w:szCs w:val="24"/>
        </w:rPr>
        <w:t>losing</w:t>
      </w:r>
      <w:proofErr w:type="gramEnd"/>
      <w:r w:rsidRPr="002A58B5">
        <w:rPr>
          <w:szCs w:val="24"/>
        </w:rPr>
        <w:t xml:space="preserve"> the prospects of becoming a student assistant or a graduate assistant in the department.</w:t>
      </w:r>
    </w:p>
    <w:p w14:paraId="1CFCD090" w14:textId="77777777" w:rsidR="00740F16" w:rsidRPr="002A58B5" w:rsidRDefault="00740F16" w:rsidP="00740F16">
      <w:pPr>
        <w:rPr>
          <w:szCs w:val="24"/>
        </w:rPr>
      </w:pPr>
      <w:r w:rsidRPr="002A58B5">
        <w:rPr>
          <w:szCs w:val="24"/>
        </w:rPr>
        <w:t>The students may further be sent to the University Ethnics committee or be subject to disciplinary action.</w:t>
      </w:r>
    </w:p>
    <w:p w14:paraId="29D9DA6A" w14:textId="77777777" w:rsidR="00740F16" w:rsidRPr="008418B6" w:rsidRDefault="00740F16" w:rsidP="00740F16">
      <w:pPr>
        <w:jc w:val="center"/>
        <w:rPr>
          <w:b/>
          <w:szCs w:val="24"/>
        </w:rPr>
      </w:pPr>
      <w:r w:rsidRPr="002A58B5">
        <w:rPr>
          <w:sz w:val="22"/>
          <w:szCs w:val="22"/>
        </w:rPr>
        <w:br w:type="page"/>
      </w:r>
      <w:r w:rsidRPr="008418B6">
        <w:rPr>
          <w:b/>
          <w:szCs w:val="24"/>
        </w:rPr>
        <w:lastRenderedPageBreak/>
        <w:t>A Statement on Plagiarism</w:t>
      </w:r>
    </w:p>
    <w:p w14:paraId="259CCD88"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rPr>
          <w:sz w:val="20"/>
        </w:rPr>
      </w:pPr>
    </w:p>
    <w:p w14:paraId="0B8596A7"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rPr>
          <w:sz w:val="20"/>
        </w:rPr>
      </w:pPr>
      <w:r w:rsidRPr="008418B6">
        <w:rPr>
          <w:sz w:val="20"/>
        </w:rPr>
        <w:t>Using someone else's ideas or phrasing and representing those ideas or phrasing as our own, either on purpose or through carelessness, is a serious offense known as plagiarism. “Ideas or phrasing” includes written or spoken material, of course—from whole papers and paragraphs to sentences—but it also includes statistics, lab results, art work, etc. “Someone else” can mean a professional source, such as a published writer or critic in a book, magazine, encyclopedia, or journal; an electronic resource such as material we discover on internet; another student at our school or anywhere else; a paper-writing “service” (online or otherwise) which offers to sell written papers for a fee.</w:t>
      </w:r>
    </w:p>
    <w:p w14:paraId="1EF139A5"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jc w:val="center"/>
        <w:rPr>
          <w:sz w:val="20"/>
        </w:rPr>
      </w:pPr>
      <w:r w:rsidRPr="008418B6">
        <w:rPr>
          <w:sz w:val="20"/>
        </w:rPr>
        <w:t xml:space="preserve"> The </w:t>
      </w:r>
      <w:proofErr w:type="gramStart"/>
      <w:r w:rsidRPr="008418B6">
        <w:rPr>
          <w:sz w:val="20"/>
        </w:rPr>
        <w:t>examples below were originally written by the writing center staff at an esteemed college; that institution has asked us to remove its name from this Web page</w:t>
      </w:r>
      <w:proofErr w:type="gramEnd"/>
      <w:r w:rsidRPr="008418B6">
        <w:rPr>
          <w:sz w:val="20"/>
        </w:rPr>
        <w:t>.</w:t>
      </w:r>
    </w:p>
    <w:p w14:paraId="273D3287"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rPr>
          <w:sz w:val="20"/>
        </w:rPr>
      </w:pPr>
      <w:r w:rsidRPr="008418B6">
        <w:rPr>
          <w:b/>
          <w:sz w:val="20"/>
        </w:rPr>
        <w:t>The original text</w:t>
      </w:r>
      <w:r w:rsidRPr="008418B6">
        <w:rPr>
          <w:sz w:val="20"/>
        </w:rPr>
        <w:t xml:space="preserve"> </w:t>
      </w:r>
      <w:r w:rsidRPr="008418B6">
        <w:rPr>
          <w:sz w:val="20"/>
          <w:u w:val="single"/>
        </w:rPr>
        <w:t>(from Elaine Tyler May's “Myths and Realities of the American Family”)</w:t>
      </w:r>
      <w:r w:rsidRPr="008418B6">
        <w:rPr>
          <w:sz w:val="20"/>
        </w:rPr>
        <w:t>:</w:t>
      </w:r>
    </w:p>
    <w:p w14:paraId="71C838BC"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rPr>
          <w:sz w:val="20"/>
        </w:rPr>
      </w:pPr>
      <w:r w:rsidRPr="008418B6">
        <w:rPr>
          <w:sz w:val="20"/>
        </w:rPr>
        <w:t xml:space="preserve">Because women's wages often continue to reflect the fiction that men earn the family wage, single mothers rarely earn enough to support themselves and their children adequately. And because work is still organized around the assumption that mothers stay home with children, even though few mothers can afford to do so, child-care facilities in the United States remain woefully inadequate. </w:t>
      </w:r>
    </w:p>
    <w:p w14:paraId="29358061"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jc w:val="center"/>
        <w:rPr>
          <w:sz w:val="20"/>
          <w:u w:val="single"/>
        </w:rPr>
      </w:pPr>
      <w:r w:rsidRPr="008418B6">
        <w:rPr>
          <w:sz w:val="20"/>
          <w:u w:val="single"/>
        </w:rPr>
        <w:t xml:space="preserve">Here are some possible uses of this text. </w:t>
      </w:r>
    </w:p>
    <w:p w14:paraId="048ADB4A"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rPr>
          <w:sz w:val="20"/>
        </w:rPr>
      </w:pPr>
      <w:r w:rsidRPr="008418B6">
        <w:rPr>
          <w:b/>
          <w:sz w:val="20"/>
        </w:rPr>
        <w:t>Version A:</w:t>
      </w:r>
      <w:r w:rsidRPr="008418B6">
        <w:rPr>
          <w:sz w:val="20"/>
        </w:rPr>
        <w:t xml:space="preserve"> Since women's wages often continue to reflect the mistaken notion that men are the main wage earners in the family, single mothers rarely make enough to support themselves and their children very well. Also, because work is still based on the assumption that mothers stay home with children, facilities for </w:t>
      </w:r>
      <w:proofErr w:type="gramStart"/>
      <w:r w:rsidRPr="008418B6">
        <w:rPr>
          <w:sz w:val="20"/>
        </w:rPr>
        <w:t>child care</w:t>
      </w:r>
      <w:proofErr w:type="gramEnd"/>
      <w:r w:rsidRPr="008418B6">
        <w:rPr>
          <w:sz w:val="20"/>
        </w:rPr>
        <w:t xml:space="preserve"> remain woefully inadequate in the United States.</w:t>
      </w:r>
    </w:p>
    <w:p w14:paraId="5E0B5563"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ind w:firstLine="708"/>
        <w:rPr>
          <w:sz w:val="20"/>
        </w:rPr>
      </w:pPr>
      <w:r w:rsidRPr="008418B6">
        <w:rPr>
          <w:sz w:val="20"/>
          <w:u w:val="single"/>
        </w:rPr>
        <w:t>Plagiarism</w:t>
      </w:r>
      <w:r w:rsidRPr="008418B6">
        <w:rPr>
          <w:sz w:val="20"/>
        </w:rPr>
        <w:t xml:space="preserve">. In Version </w:t>
      </w:r>
      <w:proofErr w:type="gramStart"/>
      <w:r w:rsidRPr="008418B6">
        <w:rPr>
          <w:sz w:val="20"/>
        </w:rPr>
        <w:t>A</w:t>
      </w:r>
      <w:proofErr w:type="gramEnd"/>
      <w:r w:rsidRPr="008418B6">
        <w:rPr>
          <w:sz w:val="20"/>
        </w:rPr>
        <w:t xml:space="preserve"> there is too much direct borrowing in sentence structure and wording. The writer changes some words, drops one phrase, and adds some new language, but the overall text closely resembles May’ s. Even with a citation, the writer is still plagiarizing because the lack of quotation marks indicates that Version A is a paraphrase, and should thus be in the writer's own language.</w:t>
      </w:r>
    </w:p>
    <w:p w14:paraId="73D796F2"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rPr>
          <w:sz w:val="20"/>
        </w:rPr>
      </w:pPr>
      <w:r w:rsidRPr="008418B6">
        <w:rPr>
          <w:b/>
          <w:sz w:val="20"/>
        </w:rPr>
        <w:t>Version B:</w:t>
      </w:r>
      <w:r w:rsidRPr="008418B6">
        <w:rPr>
          <w:sz w:val="20"/>
        </w:rPr>
        <w:t xml:space="preserve"> As Elaine Tyler May points out, “women's wages often continue to reflect the fiction that men earn the family wage” (588). Thus many single mothers cannot support themselves and their children adequately. Furthermore, since work is based on the assumption that mothers stay home with children, facilities for day care in this country are still “woefully inadequate.” </w:t>
      </w:r>
      <w:proofErr w:type="gramStart"/>
      <w:r w:rsidRPr="008418B6">
        <w:rPr>
          <w:sz w:val="20"/>
        </w:rPr>
        <w:t>(May, 589).</w:t>
      </w:r>
      <w:proofErr w:type="gramEnd"/>
    </w:p>
    <w:p w14:paraId="30C6B5E8"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ind w:firstLine="708"/>
        <w:rPr>
          <w:sz w:val="20"/>
        </w:rPr>
      </w:pPr>
      <w:r w:rsidRPr="008418B6">
        <w:rPr>
          <w:sz w:val="20"/>
          <w:u w:val="single"/>
        </w:rPr>
        <w:t>Plagiarism</w:t>
      </w:r>
      <w:r w:rsidRPr="008418B6">
        <w:rPr>
          <w:sz w:val="20"/>
        </w:rPr>
        <w:t>. The writer now cites May, so we're closer to telling the truth about our text's relationship to the source, but this text continues to borrow too much language.</w:t>
      </w:r>
    </w:p>
    <w:p w14:paraId="523D3FA6"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rPr>
          <w:sz w:val="20"/>
        </w:rPr>
      </w:pPr>
      <w:r w:rsidRPr="008418B6">
        <w:rPr>
          <w:b/>
          <w:sz w:val="20"/>
        </w:rPr>
        <w:t>Version C:</w:t>
      </w:r>
      <w:r w:rsidRPr="008418B6">
        <w:rPr>
          <w:sz w:val="20"/>
        </w:rPr>
        <w:t xml:space="preserve"> By and large, our economy still operates on the mistaken notion that men are the main breadwinners in the family. Thus, women continue to earn lower wages than men. This means, in effect, that many single mothers cannot earn a decent living. Furthermore, adequate day care is not available in the United States because of the mistaken assumption that mothers remain at home with their children.</w:t>
      </w:r>
    </w:p>
    <w:p w14:paraId="12BFB041"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ind w:firstLine="708"/>
        <w:rPr>
          <w:sz w:val="20"/>
        </w:rPr>
      </w:pPr>
      <w:r w:rsidRPr="008418B6">
        <w:rPr>
          <w:sz w:val="20"/>
          <w:u w:val="single"/>
        </w:rPr>
        <w:t>Plagiarism</w:t>
      </w:r>
      <w:r w:rsidRPr="008418B6">
        <w:rPr>
          <w:sz w:val="20"/>
        </w:rPr>
        <w:t>. Version C shows good paraphrasing of wording and sentence structure, but May's original ideas are not acknowledged. Some of May's points are common knowledge (women earn less than men, many single mothers live in poverty), but May uses this common knowledge to make a specific and original point and her original conception of this idea is not acknowledged.</w:t>
      </w:r>
    </w:p>
    <w:p w14:paraId="5ED96522"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rPr>
          <w:sz w:val="20"/>
        </w:rPr>
      </w:pPr>
      <w:r w:rsidRPr="008418B6">
        <w:rPr>
          <w:b/>
          <w:sz w:val="20"/>
        </w:rPr>
        <w:t>Version D:</w:t>
      </w:r>
      <w:r w:rsidRPr="008418B6">
        <w:rPr>
          <w:sz w:val="20"/>
        </w:rPr>
        <w:t xml:space="preserve"> Women today still earn less than men—so much less that many single mothers and their children live near or below the poverty line. Elaine Tyler May argues that this situation stems in part from “the fiction that men earn the family wage” (588). May further suggests that the American workplace still operates on the assumption that mothers with children stay home to care for them (589). This assumption, in my opinion, does not have the force it once did. More and more businesses offer in-house day-care facilities.</w:t>
      </w:r>
    </w:p>
    <w:p w14:paraId="5509BA0B"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ind w:firstLine="708"/>
        <w:rPr>
          <w:sz w:val="20"/>
        </w:rPr>
      </w:pPr>
      <w:r w:rsidRPr="008418B6">
        <w:rPr>
          <w:sz w:val="20"/>
          <w:u w:val="single"/>
        </w:rPr>
        <w:t>No Plagiarism.</w:t>
      </w:r>
      <w:r w:rsidRPr="008418B6">
        <w:rPr>
          <w:sz w:val="20"/>
        </w:rPr>
        <w:t xml:space="preserve">  The writer makes use of the common knowledge in May's work, but acknowledges May's original conclusion and does not try to pass it off as his or her own. The quotation is properly cited, as is a later paraphrase of another of May's ideas.</w:t>
      </w:r>
    </w:p>
    <w:p w14:paraId="71331907" w14:textId="77777777" w:rsidR="00740F16" w:rsidRPr="008418B6" w:rsidRDefault="00740F16" w:rsidP="00740F16">
      <w:pPr>
        <w:pBdr>
          <w:top w:val="single" w:sz="4" w:space="1" w:color="auto"/>
          <w:left w:val="single" w:sz="4" w:space="4" w:color="auto"/>
          <w:bottom w:val="single" w:sz="4" w:space="1" w:color="auto"/>
          <w:right w:val="single" w:sz="4" w:space="4" w:color="auto"/>
        </w:pBdr>
        <w:spacing w:before="60" w:after="60"/>
        <w:ind w:firstLine="708"/>
        <w:rPr>
          <w:sz w:val="20"/>
        </w:rPr>
      </w:pPr>
    </w:p>
    <w:p w14:paraId="50540400" w14:textId="77777777" w:rsidR="00740F16" w:rsidRPr="008418B6" w:rsidRDefault="00740F16" w:rsidP="00740F16">
      <w:pPr>
        <w:rPr>
          <w:sz w:val="20"/>
          <w:szCs w:val="22"/>
        </w:rPr>
      </w:pPr>
    </w:p>
    <w:p w14:paraId="422A418D" w14:textId="77777777" w:rsidR="00740F16" w:rsidRPr="002A58B5" w:rsidRDefault="00740F16" w:rsidP="00740F16">
      <w:pPr>
        <w:pStyle w:val="FootnoteText"/>
        <w:rPr>
          <w:rFonts w:ascii="Times New Roman" w:hAnsi="Times New Roman"/>
          <w:b/>
          <w:sz w:val="22"/>
          <w:szCs w:val="22"/>
          <w:lang w:val="en-US"/>
        </w:rPr>
      </w:pPr>
    </w:p>
    <w:p w14:paraId="6A2197FC" w14:textId="77777777" w:rsidR="00740F16" w:rsidRPr="00740F16" w:rsidRDefault="00740F16" w:rsidP="00FC4D83">
      <w:pPr>
        <w:jc w:val="center"/>
        <w:rPr>
          <w:sz w:val="22"/>
          <w:szCs w:val="22"/>
        </w:rPr>
      </w:pPr>
    </w:p>
    <w:sectPr w:rsidR="00740F16" w:rsidRPr="00740F16" w:rsidSect="00FC4D83">
      <w:pgSz w:w="11906" w:h="16838"/>
      <w:pgMar w:top="1417" w:right="1417" w:bottom="1417" w:left="1417" w:header="708" w:footer="708"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8EE9CC" w14:textId="77777777" w:rsidR="00CC7441" w:rsidRDefault="00CC7441">
      <w:r>
        <w:separator/>
      </w:r>
    </w:p>
  </w:endnote>
  <w:endnote w:type="continuationSeparator" w:id="0">
    <w:p w14:paraId="73A34803" w14:textId="77777777" w:rsidR="00CC7441" w:rsidRDefault="00CC7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auto"/>
    <w:pitch w:val="variable"/>
    <w:sig w:usb0="E0002AFF" w:usb1="C0007843" w:usb2="00000009" w:usb3="00000000" w:csb0="000001FF" w:csb1="00000000"/>
  </w:font>
  <w:font w:name="Courier">
    <w:panose1 w:val="02000500000000000000"/>
    <w:charset w:val="00"/>
    <w:family w:val="auto"/>
    <w:pitch w:val="variable"/>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altName w:val="Optima ExtraBlack"/>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8563B6" w14:textId="77777777" w:rsidR="00CC7441" w:rsidRDefault="00CC7441">
      <w:r>
        <w:separator/>
      </w:r>
    </w:p>
  </w:footnote>
  <w:footnote w:type="continuationSeparator" w:id="0">
    <w:p w14:paraId="6C9B38E9" w14:textId="77777777" w:rsidR="00CC7441" w:rsidRDefault="00CC744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606C58" w14:textId="77777777" w:rsidR="00CC7441" w:rsidRDefault="00CC7441" w:rsidP="00FC4D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295B04" w14:textId="77777777" w:rsidR="00CC7441" w:rsidRDefault="00CC7441" w:rsidP="00FC4D83">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13FE34" w14:textId="77777777" w:rsidR="00CC7441" w:rsidRDefault="00CC7441" w:rsidP="00FC4D8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72661">
      <w:rPr>
        <w:rStyle w:val="PageNumber"/>
        <w:noProof/>
      </w:rPr>
      <w:t>2</w:t>
    </w:r>
    <w:r>
      <w:rPr>
        <w:rStyle w:val="PageNumber"/>
      </w:rPr>
      <w:fldChar w:fldCharType="end"/>
    </w:r>
  </w:p>
  <w:p w14:paraId="640BE4CF" w14:textId="77777777" w:rsidR="00CC7441" w:rsidRDefault="00CC7441" w:rsidP="00FC4D83">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EBEB126"/>
    <w:lvl w:ilvl="0">
      <w:start w:val="1"/>
      <w:numFmt w:val="decimal"/>
      <w:lvlText w:val="%1."/>
      <w:lvlJc w:val="left"/>
      <w:pPr>
        <w:tabs>
          <w:tab w:val="num" w:pos="1492"/>
        </w:tabs>
        <w:ind w:left="1492" w:hanging="360"/>
      </w:pPr>
    </w:lvl>
  </w:abstractNum>
  <w:abstractNum w:abstractNumId="1">
    <w:nsid w:val="FFFFFF7D"/>
    <w:multiLevelType w:val="singleLevel"/>
    <w:tmpl w:val="CE74AFA8"/>
    <w:lvl w:ilvl="0">
      <w:start w:val="1"/>
      <w:numFmt w:val="decimal"/>
      <w:lvlText w:val="%1."/>
      <w:lvlJc w:val="left"/>
      <w:pPr>
        <w:tabs>
          <w:tab w:val="num" w:pos="1209"/>
        </w:tabs>
        <w:ind w:left="1209" w:hanging="360"/>
      </w:pPr>
    </w:lvl>
  </w:abstractNum>
  <w:abstractNum w:abstractNumId="2">
    <w:nsid w:val="FFFFFF7E"/>
    <w:multiLevelType w:val="singleLevel"/>
    <w:tmpl w:val="D094538E"/>
    <w:lvl w:ilvl="0">
      <w:start w:val="1"/>
      <w:numFmt w:val="decimal"/>
      <w:lvlText w:val="%1."/>
      <w:lvlJc w:val="left"/>
      <w:pPr>
        <w:tabs>
          <w:tab w:val="num" w:pos="926"/>
        </w:tabs>
        <w:ind w:left="926" w:hanging="360"/>
      </w:pPr>
    </w:lvl>
  </w:abstractNum>
  <w:abstractNum w:abstractNumId="3">
    <w:nsid w:val="FFFFFF7F"/>
    <w:multiLevelType w:val="singleLevel"/>
    <w:tmpl w:val="26E0ABD2"/>
    <w:lvl w:ilvl="0">
      <w:start w:val="1"/>
      <w:numFmt w:val="decimal"/>
      <w:lvlText w:val="%1."/>
      <w:lvlJc w:val="left"/>
      <w:pPr>
        <w:tabs>
          <w:tab w:val="num" w:pos="643"/>
        </w:tabs>
        <w:ind w:left="643" w:hanging="360"/>
      </w:pPr>
    </w:lvl>
  </w:abstractNum>
  <w:abstractNum w:abstractNumId="4">
    <w:nsid w:val="FFFFFF80"/>
    <w:multiLevelType w:val="singleLevel"/>
    <w:tmpl w:val="FDBA6A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B84E384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6E6A82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77EC3D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E3476E4"/>
    <w:lvl w:ilvl="0">
      <w:start w:val="1"/>
      <w:numFmt w:val="decimal"/>
      <w:lvlText w:val="%1."/>
      <w:lvlJc w:val="left"/>
      <w:pPr>
        <w:tabs>
          <w:tab w:val="num" w:pos="360"/>
        </w:tabs>
        <w:ind w:left="360" w:hanging="360"/>
      </w:pPr>
    </w:lvl>
  </w:abstractNum>
  <w:abstractNum w:abstractNumId="9">
    <w:nsid w:val="FFFFFF89"/>
    <w:multiLevelType w:val="singleLevel"/>
    <w:tmpl w:val="A0ECF3A4"/>
    <w:lvl w:ilvl="0">
      <w:start w:val="1"/>
      <w:numFmt w:val="bullet"/>
      <w:lvlText w:val=""/>
      <w:lvlJc w:val="left"/>
      <w:pPr>
        <w:tabs>
          <w:tab w:val="num" w:pos="360"/>
        </w:tabs>
        <w:ind w:left="360" w:hanging="360"/>
      </w:pPr>
      <w:rPr>
        <w:rFonts w:ascii="Symbol" w:hAnsi="Symbol" w:hint="default"/>
      </w:rPr>
    </w:lvl>
  </w:abstractNum>
  <w:abstractNum w:abstractNumId="10">
    <w:nsid w:val="1EC225A5"/>
    <w:multiLevelType w:val="singleLevel"/>
    <w:tmpl w:val="040C0011"/>
    <w:lvl w:ilvl="0">
      <w:start w:val="1"/>
      <w:numFmt w:val="decimal"/>
      <w:lvlText w:val="%1)"/>
      <w:lvlJc w:val="left"/>
      <w:pPr>
        <w:tabs>
          <w:tab w:val="num" w:pos="360"/>
        </w:tabs>
        <w:ind w:left="360" w:hanging="360"/>
      </w:pPr>
      <w:rPr>
        <w:rFonts w:hint="default"/>
      </w:rPr>
    </w:lvl>
  </w:abstractNum>
  <w:abstractNum w:abstractNumId="11">
    <w:nsid w:val="26DF00C7"/>
    <w:multiLevelType w:val="hybridMultilevel"/>
    <w:tmpl w:val="047C661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1902613"/>
    <w:multiLevelType w:val="hybridMultilevel"/>
    <w:tmpl w:val="67E070AE"/>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C3B380E"/>
    <w:multiLevelType w:val="singleLevel"/>
    <w:tmpl w:val="040C0011"/>
    <w:lvl w:ilvl="0">
      <w:start w:val="1"/>
      <w:numFmt w:val="decimal"/>
      <w:lvlText w:val="%1)"/>
      <w:lvlJc w:val="left"/>
      <w:pPr>
        <w:tabs>
          <w:tab w:val="num" w:pos="360"/>
        </w:tabs>
        <w:ind w:left="360" w:hanging="360"/>
      </w:pPr>
      <w:rPr>
        <w:rFonts w:hint="default"/>
      </w:rPr>
    </w:lvl>
  </w:abstractNum>
  <w:abstractNum w:abstractNumId="14">
    <w:nsid w:val="6D3C6861"/>
    <w:multiLevelType w:val="hybridMultilevel"/>
    <w:tmpl w:val="2ED4D012"/>
    <w:lvl w:ilvl="0" w:tplc="04090011">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5">
    <w:nsid w:val="7319693D"/>
    <w:multiLevelType w:val="hybridMultilevel"/>
    <w:tmpl w:val="E09EC3EC"/>
    <w:lvl w:ilvl="0" w:tplc="14488F46">
      <w:start w:val="1"/>
      <w:numFmt w:val="decimal"/>
      <w:lvlText w:val="%1)"/>
      <w:lvlJc w:val="left"/>
      <w:pPr>
        <w:ind w:left="1669" w:hanging="9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1"/>
  </w:num>
  <w:num w:numId="14">
    <w:abstractNumId w:val="12"/>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4BB1"/>
    <w:rsid w:val="000433FA"/>
    <w:rsid w:val="00105801"/>
    <w:rsid w:val="00161162"/>
    <w:rsid w:val="001B5BA7"/>
    <w:rsid w:val="001D74A1"/>
    <w:rsid w:val="0026317D"/>
    <w:rsid w:val="00322636"/>
    <w:rsid w:val="00393251"/>
    <w:rsid w:val="003B0271"/>
    <w:rsid w:val="00464F72"/>
    <w:rsid w:val="004713CB"/>
    <w:rsid w:val="004E4E98"/>
    <w:rsid w:val="005242ED"/>
    <w:rsid w:val="00555FB3"/>
    <w:rsid w:val="005979C7"/>
    <w:rsid w:val="00672661"/>
    <w:rsid w:val="006A14B0"/>
    <w:rsid w:val="00740F16"/>
    <w:rsid w:val="00775616"/>
    <w:rsid w:val="00795B78"/>
    <w:rsid w:val="0083163F"/>
    <w:rsid w:val="008F32F6"/>
    <w:rsid w:val="00965563"/>
    <w:rsid w:val="009C3CCD"/>
    <w:rsid w:val="00A03231"/>
    <w:rsid w:val="00AB4BB1"/>
    <w:rsid w:val="00AD274B"/>
    <w:rsid w:val="00B66502"/>
    <w:rsid w:val="00B97801"/>
    <w:rsid w:val="00CB347B"/>
    <w:rsid w:val="00CC5685"/>
    <w:rsid w:val="00CC7441"/>
    <w:rsid w:val="00D56A90"/>
    <w:rsid w:val="00FC4D83"/>
    <w:rsid w:val="00FE7EEA"/>
  </w:rsids>
  <m:mathPr>
    <m:mathFont m:val="Cambria Math"/>
    <m:brkBin m:val="before"/>
    <m:brkBinSub m:val="--"/>
    <m:smallFrac m:val="0"/>
    <m:dispDef m:val="0"/>
    <m:lMargin m:val="0"/>
    <m:rMargin m:val="0"/>
    <m:defJc m:val="centerGroup"/>
    <m:wrapRight/>
    <m:intLim m:val="subSup"/>
    <m:naryLim m:val="subSup"/>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ABDB84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276"/>
  <w:style w:type="paragraph" w:default="1" w:styleId="Normal">
    <w:name w:val="Normal"/>
    <w:qFormat/>
    <w:pPr>
      <w:spacing w:after="120"/>
      <w:jc w:val="both"/>
    </w:pPr>
    <w:rPr>
      <w:sz w:val="24"/>
      <w:lang w:val="en-US"/>
    </w:rPr>
  </w:style>
  <w:style w:type="paragraph" w:styleId="Heading1">
    <w:name w:val="heading 1"/>
    <w:basedOn w:val="Normal"/>
    <w:next w:val="Normal"/>
    <w:qFormat/>
    <w:pPr>
      <w:spacing w:before="240" w:line="240" w:lineRule="atLeast"/>
      <w:outlineLvl w:val="0"/>
    </w:pPr>
    <w:rPr>
      <w:rFonts w:ascii="Helvetica" w:hAnsi="Helvetica"/>
      <w:b/>
      <w:u w:val="single"/>
    </w:rPr>
  </w:style>
  <w:style w:type="paragraph" w:styleId="Heading2">
    <w:name w:val="heading 2"/>
    <w:basedOn w:val="Normal"/>
    <w:next w:val="Normal"/>
    <w:qFormat/>
    <w:pPr>
      <w:spacing w:before="120" w:line="240" w:lineRule="atLeast"/>
      <w:outlineLvl w:val="1"/>
    </w:pPr>
    <w:rPr>
      <w:rFonts w:ascii="Helvetica" w:hAnsi="Helvetica"/>
      <w:b/>
    </w:rPr>
  </w:style>
  <w:style w:type="paragraph" w:styleId="Heading3">
    <w:name w:val="heading 3"/>
    <w:basedOn w:val="Normal"/>
    <w:next w:val="Normal"/>
    <w:qFormat/>
    <w:pPr>
      <w:ind w:left="354"/>
      <w:outlineLvl w:val="2"/>
    </w:pPr>
    <w:rPr>
      <w:b/>
      <w:sz w:val="28"/>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rsid w:val="00B920E1"/>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umrer">
    <w:name w:val="Enumérer"/>
    <w:basedOn w:val="Normal"/>
    <w:pPr>
      <w:spacing w:line="240" w:lineRule="atLeast"/>
      <w:ind w:left="567"/>
    </w:pPr>
    <w:rPr>
      <w:rFonts w:ascii="Courier New" w:hAnsi="Courier New"/>
    </w:rPr>
  </w:style>
  <w:style w:type="paragraph" w:customStyle="1" w:styleId="Titlequote">
    <w:name w:val="Title quote"/>
    <w:basedOn w:val="Normal"/>
    <w:pPr>
      <w:spacing w:line="360" w:lineRule="atLeast"/>
      <w:ind w:left="1180" w:right="158"/>
    </w:pPr>
    <w:rPr>
      <w:rFonts w:ascii="Courier" w:hAnsi="Courier"/>
      <w:i/>
    </w:rPr>
  </w:style>
  <w:style w:type="paragraph" w:styleId="Title">
    <w:name w:val="Title"/>
    <w:basedOn w:val="Normal"/>
    <w:qFormat/>
    <w:pPr>
      <w:jc w:val="center"/>
    </w:pPr>
    <w:rPr>
      <w:b/>
      <w:smallCaps/>
    </w:rPr>
  </w:style>
  <w:style w:type="paragraph" w:styleId="BodyTextIndent">
    <w:name w:val="Body Text Indent"/>
    <w:basedOn w:val="Normal"/>
    <w:pPr>
      <w:ind w:left="709" w:hanging="709"/>
    </w:pPr>
  </w:style>
  <w:style w:type="character" w:styleId="Hyperlink">
    <w:name w:val="Hyperlink"/>
    <w:rsid w:val="00BB0EA2"/>
    <w:rPr>
      <w:color w:val="0000FF"/>
      <w:u w:val="single"/>
    </w:rPr>
  </w:style>
  <w:style w:type="character" w:customStyle="1" w:styleId="boldtext1">
    <w:name w:val="boldtext1"/>
    <w:rsid w:val="00FD334A"/>
    <w:rPr>
      <w:rFonts w:ascii="Helvetica" w:hAnsi="Helvetica" w:cs="Helvetica" w:hint="default"/>
      <w:b/>
      <w:bCs/>
      <w:color w:val="000000"/>
      <w:sz w:val="18"/>
      <w:szCs w:val="18"/>
    </w:rPr>
  </w:style>
  <w:style w:type="character" w:styleId="HTMLCite">
    <w:name w:val="HTML Cite"/>
    <w:rsid w:val="00FD334A"/>
    <w:rPr>
      <w:i/>
      <w:iCs/>
    </w:rPr>
  </w:style>
  <w:style w:type="paragraph" w:styleId="Header">
    <w:name w:val="header"/>
    <w:basedOn w:val="Normal"/>
    <w:rsid w:val="003279D0"/>
    <w:pPr>
      <w:tabs>
        <w:tab w:val="center" w:pos="4536"/>
        <w:tab w:val="right" w:pos="9072"/>
      </w:tabs>
    </w:pPr>
  </w:style>
  <w:style w:type="character" w:styleId="PageNumber">
    <w:name w:val="page number"/>
    <w:basedOn w:val="DefaultParagraphFont"/>
    <w:rsid w:val="003279D0"/>
  </w:style>
  <w:style w:type="paragraph" w:styleId="FootnoteText">
    <w:name w:val="footnote text"/>
    <w:basedOn w:val="Normal"/>
    <w:link w:val="FootnoteTextChar"/>
    <w:semiHidden/>
    <w:rsid w:val="008418B6"/>
    <w:pPr>
      <w:spacing w:after="0"/>
    </w:pPr>
    <w:rPr>
      <w:rFonts w:ascii="Comic Sans MS" w:hAnsi="Comic Sans MS"/>
      <w:sz w:val="20"/>
      <w:lang w:val="fr-FR" w:eastAsia="tr-TR"/>
    </w:rPr>
  </w:style>
  <w:style w:type="character" w:customStyle="1" w:styleId="FootnoteTextChar">
    <w:name w:val="Footnote Text Char"/>
    <w:link w:val="FootnoteText"/>
    <w:semiHidden/>
    <w:rsid w:val="008418B6"/>
    <w:rPr>
      <w:rFonts w:ascii="Comic Sans MS" w:hAnsi="Comic Sans MS"/>
      <w:lang w:val="fr-FR" w:eastAsia="tr-TR"/>
    </w:rPr>
  </w:style>
  <w:style w:type="paragraph" w:styleId="BalloonText">
    <w:name w:val="Balloon Text"/>
    <w:basedOn w:val="Normal"/>
    <w:link w:val="BalloonTextChar"/>
    <w:rsid w:val="00D56A9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56A90"/>
    <w:rPr>
      <w:rFonts w:ascii="Lucida Grande" w:hAnsi="Lucida Grande" w:cs="Lucida Grande"/>
      <w:sz w:val="18"/>
      <w:szCs w:val="18"/>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276"/>
  <w:style w:type="paragraph" w:default="1" w:styleId="Normal">
    <w:name w:val="Normal"/>
    <w:qFormat/>
    <w:pPr>
      <w:spacing w:after="120"/>
      <w:jc w:val="both"/>
    </w:pPr>
    <w:rPr>
      <w:sz w:val="24"/>
      <w:lang w:val="en-US"/>
    </w:rPr>
  </w:style>
  <w:style w:type="paragraph" w:styleId="Heading1">
    <w:name w:val="heading 1"/>
    <w:basedOn w:val="Normal"/>
    <w:next w:val="Normal"/>
    <w:qFormat/>
    <w:pPr>
      <w:spacing w:before="240" w:line="240" w:lineRule="atLeast"/>
      <w:outlineLvl w:val="0"/>
    </w:pPr>
    <w:rPr>
      <w:rFonts w:ascii="Helvetica" w:hAnsi="Helvetica"/>
      <w:b/>
      <w:u w:val="single"/>
    </w:rPr>
  </w:style>
  <w:style w:type="paragraph" w:styleId="Heading2">
    <w:name w:val="heading 2"/>
    <w:basedOn w:val="Normal"/>
    <w:next w:val="Normal"/>
    <w:qFormat/>
    <w:pPr>
      <w:spacing w:before="120" w:line="240" w:lineRule="atLeast"/>
      <w:outlineLvl w:val="1"/>
    </w:pPr>
    <w:rPr>
      <w:rFonts w:ascii="Helvetica" w:hAnsi="Helvetica"/>
      <w:b/>
    </w:rPr>
  </w:style>
  <w:style w:type="paragraph" w:styleId="Heading3">
    <w:name w:val="heading 3"/>
    <w:basedOn w:val="Normal"/>
    <w:next w:val="Normal"/>
    <w:qFormat/>
    <w:pPr>
      <w:ind w:left="354"/>
      <w:outlineLvl w:val="2"/>
    </w:pPr>
    <w:rPr>
      <w:b/>
      <w:sz w:val="28"/>
    </w:rPr>
  </w:style>
  <w:style w:type="paragraph" w:styleId="Heading4">
    <w:name w:val="heading 4"/>
    <w:basedOn w:val="Normal"/>
    <w:next w:val="Normal"/>
    <w:qFormat/>
    <w:pPr>
      <w:keepNext/>
      <w:outlineLvl w:val="3"/>
    </w:pPr>
    <w:rPr>
      <w:i/>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u w:val="single"/>
    </w:rPr>
  </w:style>
  <w:style w:type="paragraph" w:styleId="Heading8">
    <w:name w:val="heading 8"/>
    <w:basedOn w:val="Normal"/>
    <w:next w:val="Normal"/>
    <w:qFormat/>
    <w:rsid w:val="00B920E1"/>
    <w:pPr>
      <w:spacing w:before="240" w:after="60"/>
      <w:outlineLvl w:val="7"/>
    </w:pPr>
    <w:rPr>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umrer">
    <w:name w:val="Enumérer"/>
    <w:basedOn w:val="Normal"/>
    <w:pPr>
      <w:spacing w:line="240" w:lineRule="atLeast"/>
      <w:ind w:left="567"/>
    </w:pPr>
    <w:rPr>
      <w:rFonts w:ascii="Courier New" w:hAnsi="Courier New"/>
    </w:rPr>
  </w:style>
  <w:style w:type="paragraph" w:customStyle="1" w:styleId="Titlequote">
    <w:name w:val="Title quote"/>
    <w:basedOn w:val="Normal"/>
    <w:pPr>
      <w:spacing w:line="360" w:lineRule="atLeast"/>
      <w:ind w:left="1180" w:right="158"/>
    </w:pPr>
    <w:rPr>
      <w:rFonts w:ascii="Courier" w:hAnsi="Courier"/>
      <w:i/>
    </w:rPr>
  </w:style>
  <w:style w:type="paragraph" w:styleId="Title">
    <w:name w:val="Title"/>
    <w:basedOn w:val="Normal"/>
    <w:qFormat/>
    <w:pPr>
      <w:jc w:val="center"/>
    </w:pPr>
    <w:rPr>
      <w:b/>
      <w:smallCaps/>
    </w:rPr>
  </w:style>
  <w:style w:type="paragraph" w:styleId="BodyTextIndent">
    <w:name w:val="Body Text Indent"/>
    <w:basedOn w:val="Normal"/>
    <w:pPr>
      <w:ind w:left="709" w:hanging="709"/>
    </w:pPr>
  </w:style>
  <w:style w:type="character" w:styleId="Hyperlink">
    <w:name w:val="Hyperlink"/>
    <w:rsid w:val="00BB0EA2"/>
    <w:rPr>
      <w:color w:val="0000FF"/>
      <w:u w:val="single"/>
    </w:rPr>
  </w:style>
  <w:style w:type="character" w:customStyle="1" w:styleId="boldtext1">
    <w:name w:val="boldtext1"/>
    <w:rsid w:val="00FD334A"/>
    <w:rPr>
      <w:rFonts w:ascii="Helvetica" w:hAnsi="Helvetica" w:cs="Helvetica" w:hint="default"/>
      <w:b/>
      <w:bCs/>
      <w:color w:val="000000"/>
      <w:sz w:val="18"/>
      <w:szCs w:val="18"/>
    </w:rPr>
  </w:style>
  <w:style w:type="character" w:styleId="HTMLCite">
    <w:name w:val="HTML Cite"/>
    <w:rsid w:val="00FD334A"/>
    <w:rPr>
      <w:i/>
      <w:iCs/>
    </w:rPr>
  </w:style>
  <w:style w:type="paragraph" w:styleId="Header">
    <w:name w:val="header"/>
    <w:basedOn w:val="Normal"/>
    <w:rsid w:val="003279D0"/>
    <w:pPr>
      <w:tabs>
        <w:tab w:val="center" w:pos="4536"/>
        <w:tab w:val="right" w:pos="9072"/>
      </w:tabs>
    </w:pPr>
  </w:style>
  <w:style w:type="character" w:styleId="PageNumber">
    <w:name w:val="page number"/>
    <w:basedOn w:val="DefaultParagraphFont"/>
    <w:rsid w:val="003279D0"/>
  </w:style>
  <w:style w:type="paragraph" w:styleId="FootnoteText">
    <w:name w:val="footnote text"/>
    <w:basedOn w:val="Normal"/>
    <w:link w:val="FootnoteTextChar"/>
    <w:semiHidden/>
    <w:rsid w:val="008418B6"/>
    <w:pPr>
      <w:spacing w:after="0"/>
    </w:pPr>
    <w:rPr>
      <w:rFonts w:ascii="Comic Sans MS" w:hAnsi="Comic Sans MS"/>
      <w:sz w:val="20"/>
      <w:lang w:val="fr-FR" w:eastAsia="tr-TR"/>
    </w:rPr>
  </w:style>
  <w:style w:type="character" w:customStyle="1" w:styleId="FootnoteTextChar">
    <w:name w:val="Footnote Text Char"/>
    <w:link w:val="FootnoteText"/>
    <w:semiHidden/>
    <w:rsid w:val="008418B6"/>
    <w:rPr>
      <w:rFonts w:ascii="Comic Sans MS" w:hAnsi="Comic Sans MS"/>
      <w:lang w:val="fr-FR" w:eastAsia="tr-TR"/>
    </w:rPr>
  </w:style>
  <w:style w:type="paragraph" w:styleId="BalloonText">
    <w:name w:val="Balloon Text"/>
    <w:basedOn w:val="Normal"/>
    <w:link w:val="BalloonTextChar"/>
    <w:rsid w:val="00D56A90"/>
    <w:pPr>
      <w:spacing w:after="0"/>
    </w:pPr>
    <w:rPr>
      <w:rFonts w:ascii="Lucida Grande" w:hAnsi="Lucida Grande" w:cs="Lucida Grande"/>
      <w:sz w:val="18"/>
      <w:szCs w:val="18"/>
    </w:rPr>
  </w:style>
  <w:style w:type="character" w:customStyle="1" w:styleId="BalloonTextChar">
    <w:name w:val="Balloon Text Char"/>
    <w:basedOn w:val="DefaultParagraphFont"/>
    <w:link w:val="BalloonText"/>
    <w:rsid w:val="00D56A90"/>
    <w:rPr>
      <w:rFonts w:ascii="Lucida Grande" w:hAnsi="Lucida Grande" w:cs="Lucida Grande"/>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eb.gc.cuny.edu/provost/pdf/AvoidingPlagiarism.pdf" TargetMode="Externa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TotalTime>
  <Pages>5</Pages>
  <Words>1717</Words>
  <Characters>9793</Characters>
  <Application>Microsoft Macintosh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POLS 471 / POLS 553</vt:lpstr>
    </vt:vector>
  </TitlesOfParts>
  <Company>moi</Company>
  <LinksUpToDate>false</LinksUpToDate>
  <CharactersWithSpaces>11488</CharactersWithSpaces>
  <SharedDoc>false</SharedDoc>
  <HLinks>
    <vt:vector size="12" baseType="variant">
      <vt:variant>
        <vt:i4>5111859</vt:i4>
      </vt:variant>
      <vt:variant>
        <vt:i4>0</vt:i4>
      </vt:variant>
      <vt:variant>
        <vt:i4>0</vt:i4>
      </vt:variant>
      <vt:variant>
        <vt:i4>5</vt:i4>
      </vt:variant>
      <vt:variant>
        <vt:lpwstr>http://web.gc.cuny.edu/provost/pdf/AvoidingPlagiarism.pdf</vt:lpwstr>
      </vt:variant>
      <vt:variant>
        <vt:lpwstr/>
      </vt:variant>
      <vt:variant>
        <vt:i4>5636148</vt:i4>
      </vt:variant>
      <vt:variant>
        <vt:i4>7962</vt:i4>
      </vt:variant>
      <vt:variant>
        <vt:i4>1025</vt:i4>
      </vt:variant>
      <vt:variant>
        <vt:i4>1</vt:i4>
      </vt:variant>
      <vt:variant>
        <vt:lpwstr>MCj04347500000[1]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POLS 471 / POLS 553</dc:title>
  <dc:subject/>
  <dc:creator>zeynep</dc:creator>
  <cp:keywords/>
  <cp:lastModifiedBy>Zeynep</cp:lastModifiedBy>
  <cp:revision>24</cp:revision>
  <cp:lastPrinted>2010-09-26T11:57:00Z</cp:lastPrinted>
  <dcterms:created xsi:type="dcterms:W3CDTF">2018-09-12T05:17:00Z</dcterms:created>
  <dcterms:modified xsi:type="dcterms:W3CDTF">2018-09-19T21:00:00Z</dcterms:modified>
</cp:coreProperties>
</file>