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72543" w14:textId="77777777" w:rsidR="00A12BD7" w:rsidRPr="00C55E7D" w:rsidRDefault="00A12BD7" w:rsidP="00A12BD7">
      <w:pPr>
        <w:rPr>
          <w:b/>
        </w:rPr>
      </w:pPr>
      <w:r w:rsidRPr="00C55E7D">
        <w:rPr>
          <w:b/>
        </w:rPr>
        <w:t xml:space="preserve">POLS 330  Political Geography </w:t>
      </w:r>
    </w:p>
    <w:p w14:paraId="7E27A473" w14:textId="77777777" w:rsidR="00C55E7D" w:rsidRPr="001D7701" w:rsidRDefault="00C55E7D" w:rsidP="00C55E7D">
      <w:pPr>
        <w:rPr>
          <w:lang w:val="tr-TR"/>
        </w:rPr>
      </w:pPr>
    </w:p>
    <w:p w14:paraId="51DCC4E4" w14:textId="6282097E" w:rsidR="00C55E7D" w:rsidRPr="001D7701" w:rsidRDefault="00C55E7D" w:rsidP="00C55E7D">
      <w:pPr>
        <w:spacing w:line="360" w:lineRule="auto"/>
        <w:rPr>
          <w:lang w:val="tr-TR"/>
        </w:rPr>
      </w:pPr>
      <w:proofErr w:type="spellStart"/>
      <w:r w:rsidRPr="001D7701">
        <w:rPr>
          <w:lang w:val="tr-TR"/>
        </w:rPr>
        <w:t>Term</w:t>
      </w:r>
      <w:proofErr w:type="spellEnd"/>
      <w:r w:rsidRPr="001D7701">
        <w:rPr>
          <w:lang w:val="tr-TR"/>
        </w:rPr>
        <w:t>: 20</w:t>
      </w:r>
      <w:r w:rsidR="00882A67">
        <w:rPr>
          <w:lang w:val="tr-TR"/>
        </w:rPr>
        <w:t>21</w:t>
      </w:r>
      <w:r w:rsidR="00A500EA">
        <w:rPr>
          <w:lang w:val="tr-TR"/>
        </w:rPr>
        <w:t>/</w:t>
      </w:r>
      <w:r>
        <w:rPr>
          <w:lang w:val="tr-TR"/>
        </w:rPr>
        <w:t>20</w:t>
      </w:r>
      <w:r w:rsidR="00882A67">
        <w:rPr>
          <w:lang w:val="tr-TR"/>
        </w:rPr>
        <w:t>22</w:t>
      </w:r>
      <w:r w:rsidR="00A500EA">
        <w:rPr>
          <w:lang w:val="tr-TR"/>
        </w:rPr>
        <w:t xml:space="preserve">- </w:t>
      </w:r>
      <w:r w:rsidRPr="001D7701">
        <w:rPr>
          <w:lang w:val="tr-TR"/>
        </w:rPr>
        <w:t>I</w:t>
      </w:r>
      <w:r w:rsidR="00882A67">
        <w:rPr>
          <w:lang w:val="tr-TR"/>
        </w:rPr>
        <w:t>I</w:t>
      </w:r>
    </w:p>
    <w:p w14:paraId="1D7A3513" w14:textId="77777777" w:rsidR="00C55E7D" w:rsidRPr="001D7701" w:rsidRDefault="00C55E7D" w:rsidP="00C55E7D">
      <w:pPr>
        <w:pStyle w:val="Heading1"/>
        <w:spacing w:line="360" w:lineRule="auto"/>
        <w:rPr>
          <w:sz w:val="24"/>
        </w:rPr>
      </w:pPr>
      <w:proofErr w:type="spellStart"/>
      <w:r w:rsidRPr="001D7701">
        <w:rPr>
          <w:sz w:val="24"/>
        </w:rPr>
        <w:t>Instructor</w:t>
      </w:r>
      <w:proofErr w:type="spellEnd"/>
      <w:r w:rsidRPr="001D7701">
        <w:rPr>
          <w:sz w:val="24"/>
        </w:rPr>
        <w:t>: Gün Kut</w:t>
      </w:r>
    </w:p>
    <w:p w14:paraId="7452CFFF" w14:textId="282B46FC" w:rsidR="00C55E7D" w:rsidRPr="001D7701" w:rsidRDefault="00C55E7D" w:rsidP="00C55E7D">
      <w:pPr>
        <w:spacing w:line="360" w:lineRule="auto"/>
        <w:rPr>
          <w:lang w:val="tr-TR"/>
        </w:rPr>
      </w:pPr>
      <w:r w:rsidRPr="001D7701">
        <w:rPr>
          <w:lang w:val="tr-TR"/>
        </w:rPr>
        <w:t xml:space="preserve">Schedule: </w:t>
      </w:r>
      <w:r>
        <w:rPr>
          <w:lang w:val="tr-TR"/>
        </w:rPr>
        <w:t>T</w:t>
      </w:r>
      <w:r w:rsidR="00882A67">
        <w:rPr>
          <w:lang w:val="tr-TR"/>
        </w:rPr>
        <w:t>W</w:t>
      </w:r>
      <w:r>
        <w:rPr>
          <w:lang w:val="tr-TR"/>
        </w:rPr>
        <w:t>W</w:t>
      </w:r>
      <w:r w:rsidR="00882A67">
        <w:rPr>
          <w:lang w:val="tr-TR"/>
        </w:rPr>
        <w:t>3</w:t>
      </w:r>
      <w:r w:rsidR="00A500EA">
        <w:rPr>
          <w:lang w:val="tr-TR"/>
        </w:rPr>
        <w:t>12</w:t>
      </w:r>
      <w:r w:rsidR="00A500EA">
        <w:rPr>
          <w:lang w:val="tr-TR"/>
        </w:rPr>
        <w:tab/>
      </w:r>
      <w:r w:rsidRPr="00C9611B">
        <w:rPr>
          <w:lang w:val="tr-TR"/>
        </w:rPr>
        <w:t xml:space="preserve"> </w:t>
      </w:r>
    </w:p>
    <w:p w14:paraId="28026F63" w14:textId="3C6D47D7" w:rsidR="00C55E7D" w:rsidRPr="001D7701" w:rsidRDefault="00C55E7D" w:rsidP="00C55E7D">
      <w:pPr>
        <w:rPr>
          <w:lang w:val="tr-TR"/>
        </w:rPr>
      </w:pPr>
      <w:r w:rsidRPr="001D7701">
        <w:rPr>
          <w:lang w:val="tr-TR"/>
        </w:rPr>
        <w:t xml:space="preserve">Office </w:t>
      </w:r>
      <w:proofErr w:type="spellStart"/>
      <w:r w:rsidRPr="001D7701">
        <w:rPr>
          <w:lang w:val="tr-TR"/>
        </w:rPr>
        <w:t>hours</w:t>
      </w:r>
      <w:proofErr w:type="spellEnd"/>
      <w:r w:rsidRPr="001D7701">
        <w:rPr>
          <w:lang w:val="tr-TR"/>
        </w:rPr>
        <w:t>: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b</w:t>
      </w:r>
      <w:r w:rsidRPr="001D7701">
        <w:rPr>
          <w:lang w:val="tr-TR"/>
        </w:rPr>
        <w:t>y</w:t>
      </w:r>
      <w:proofErr w:type="spellEnd"/>
      <w:r w:rsidRPr="001D7701">
        <w:rPr>
          <w:lang w:val="tr-TR"/>
        </w:rPr>
        <w:t xml:space="preserve"> </w:t>
      </w:r>
      <w:proofErr w:type="spellStart"/>
      <w:r w:rsidRPr="001D7701">
        <w:rPr>
          <w:lang w:val="tr-TR"/>
        </w:rPr>
        <w:t>appointment</w:t>
      </w:r>
      <w:proofErr w:type="spellEnd"/>
      <w:r w:rsidRPr="001D7701">
        <w:rPr>
          <w:lang w:val="tr-TR"/>
        </w:rPr>
        <w:t>,  IB 50</w:t>
      </w:r>
      <w:r>
        <w:rPr>
          <w:lang w:val="tr-TR"/>
        </w:rPr>
        <w:t>7/A</w:t>
      </w:r>
    </w:p>
    <w:p w14:paraId="0077E549" w14:textId="77777777" w:rsidR="00C55E7D" w:rsidRPr="001D7701" w:rsidRDefault="00C55E7D" w:rsidP="00C55E7D">
      <w:pPr>
        <w:spacing w:line="360" w:lineRule="auto"/>
        <w:jc w:val="center"/>
        <w:rPr>
          <w:b/>
          <w:lang w:val="tr-TR"/>
        </w:rPr>
      </w:pPr>
    </w:p>
    <w:p w14:paraId="12A3DD77" w14:textId="77777777" w:rsidR="00C55E7D" w:rsidRPr="001D7701" w:rsidRDefault="00C55E7D" w:rsidP="00C55E7D">
      <w:pPr>
        <w:spacing w:line="360" w:lineRule="auto"/>
        <w:jc w:val="center"/>
        <w:rPr>
          <w:b/>
          <w:lang w:val="tr-TR"/>
        </w:rPr>
      </w:pPr>
      <w:proofErr w:type="spellStart"/>
      <w:r w:rsidRPr="001D7701">
        <w:rPr>
          <w:b/>
          <w:lang w:val="tr-TR"/>
        </w:rPr>
        <w:t>Please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read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the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following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statement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carefully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and</w:t>
      </w:r>
      <w:proofErr w:type="spellEnd"/>
      <w:r w:rsidRPr="001D7701">
        <w:rPr>
          <w:b/>
          <w:lang w:val="tr-TR"/>
        </w:rPr>
        <w:t xml:space="preserve"> be </w:t>
      </w:r>
      <w:proofErr w:type="spellStart"/>
      <w:r w:rsidRPr="001D7701">
        <w:rPr>
          <w:b/>
          <w:lang w:val="tr-TR"/>
        </w:rPr>
        <w:t>advised</w:t>
      </w:r>
      <w:proofErr w:type="spellEnd"/>
      <w:r w:rsidRPr="001D7701">
        <w:rPr>
          <w:b/>
          <w:lang w:val="tr-TR"/>
        </w:rPr>
        <w:t>:</w:t>
      </w:r>
    </w:p>
    <w:p w14:paraId="3373DDB2" w14:textId="77777777" w:rsidR="00C55E7D" w:rsidRPr="001D7701" w:rsidRDefault="00C55E7D" w:rsidP="00C55E7D">
      <w:pPr>
        <w:ind w:firstLine="720"/>
        <w:rPr>
          <w:lang w:val="tr-T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B5DD6" wp14:editId="41ABDB3F">
                <wp:simplePos x="0" y="0"/>
                <wp:positionH relativeFrom="column">
                  <wp:posOffset>316230</wp:posOffset>
                </wp:positionH>
                <wp:positionV relativeFrom="paragraph">
                  <wp:posOffset>27305</wp:posOffset>
                </wp:positionV>
                <wp:extent cx="5128895" cy="3924300"/>
                <wp:effectExtent l="0" t="1905" r="1587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89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84A33" w14:textId="77777777" w:rsidR="00BD2AC2" w:rsidRPr="00A44432" w:rsidRDefault="00BD2AC2" w:rsidP="00C55E7D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ACADEMIC HONESTY</w:t>
                            </w:r>
                          </w:p>
                          <w:p w14:paraId="76435FC4" w14:textId="77777777" w:rsidR="00BD2AC2" w:rsidRPr="00A44432" w:rsidRDefault="00BD2AC2" w:rsidP="00C55E7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1BDC8DC" w14:textId="77777777" w:rsidR="00BD2AC2" w:rsidRPr="00A44432" w:rsidRDefault="00BD2AC2" w:rsidP="00C55E7D">
                            <w:pPr>
                              <w:ind w:left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The Department of Political Science and International Relations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at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Boğaziçi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University 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has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adopted 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the following rules and regulations regarding academic honesty:</w:t>
                            </w:r>
                          </w:p>
                          <w:p w14:paraId="38CF4DB4" w14:textId="77777777" w:rsidR="00BD2AC2" w:rsidRPr="00A44432" w:rsidRDefault="00BD2AC2" w:rsidP="00C55E7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03E4CB8F" w14:textId="77777777" w:rsidR="00BD2AC2" w:rsidRPr="00A44432" w:rsidRDefault="00BD2AC2" w:rsidP="00C55E7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Copying work from others or giving and receiving answers/information during exams either in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written,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oral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or other form constitutes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cheating.</w:t>
                            </w:r>
                          </w:p>
                          <w:p w14:paraId="7B61E644" w14:textId="77777777" w:rsidR="00BD2AC2" w:rsidRPr="00A44432" w:rsidRDefault="00BD2AC2" w:rsidP="00C55E7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Submitting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any work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done by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somebody else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as your own, using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phrases, 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sentences or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sections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from the work of an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author without the proper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citation,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insufficient ackno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ledgement of consulted works, all constitute plagiarism. </w:t>
                            </w:r>
                          </w:p>
                          <w:p w14:paraId="75CBBD2E" w14:textId="77777777" w:rsidR="00BD2AC2" w:rsidRPr="00A44432" w:rsidRDefault="00BD2AC2" w:rsidP="00C55E7D">
                            <w:pPr>
                              <w:ind w:left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4257EEE" w14:textId="77777777" w:rsidR="00BD2AC2" w:rsidRPr="00A44432" w:rsidRDefault="00BD2AC2" w:rsidP="00C55E7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Plagiarism and cheating are serious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academic 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offenses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,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and will result in:</w:t>
                            </w:r>
                          </w:p>
                          <w:p w14:paraId="4D83359F" w14:textId="77777777" w:rsidR="00BD2AC2" w:rsidRPr="00A44432" w:rsidRDefault="00BD2AC2" w:rsidP="00C55E7D">
                            <w:pPr>
                              <w:ind w:left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DACE157" w14:textId="77777777" w:rsidR="00BD2AC2" w:rsidRPr="00A44432" w:rsidRDefault="00BD2AC2" w:rsidP="00C55E7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an automatic “F” for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the assignment or the exam</w:t>
                            </w:r>
                          </w:p>
                          <w:p w14:paraId="2C4D9282" w14:textId="77777777" w:rsidR="00BD2AC2" w:rsidRPr="00A44432" w:rsidRDefault="00BD2AC2" w:rsidP="00C55E7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an oral explanation before the Departmental Ethics Committee</w:t>
                            </w:r>
                          </w:p>
                          <w:p w14:paraId="36FA5F24" w14:textId="77777777" w:rsidR="00BD2AC2" w:rsidRPr="00A44432" w:rsidRDefault="00BD2AC2" w:rsidP="00C55E7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losing the opportunity to request and receive any references from the entire faculty</w:t>
                            </w:r>
                          </w:p>
                          <w:p w14:paraId="3E20C0B8" w14:textId="77777777" w:rsidR="00BD2AC2" w:rsidRPr="00A44432" w:rsidRDefault="00BD2AC2" w:rsidP="00C55E7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losing the opportunity to apply in exchange programs</w:t>
                            </w:r>
                          </w:p>
                          <w:p w14:paraId="098E281E" w14:textId="77777777" w:rsidR="00BD2AC2" w:rsidRPr="00A44432" w:rsidRDefault="00BD2AC2" w:rsidP="00C55E7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losing the prospects of becoming a student assistant or a graduate assistant in the department</w:t>
                            </w:r>
                          </w:p>
                          <w:p w14:paraId="2DA5AF23" w14:textId="77777777" w:rsidR="00BD2AC2" w:rsidRPr="00A44432" w:rsidRDefault="00BD2AC2" w:rsidP="00C55E7D">
                            <w:pPr>
                              <w:ind w:left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83C99F2" w14:textId="77777777" w:rsidR="00BD2AC2" w:rsidRPr="00A44432" w:rsidRDefault="00BD2AC2" w:rsidP="00C55E7D">
                            <w:pPr>
                              <w:ind w:left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The students may furthe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r be sent to the University Eth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ics committee or be subject to disciplinary action.</w:t>
                            </w:r>
                          </w:p>
                          <w:p w14:paraId="57EAB6A6" w14:textId="77777777" w:rsidR="00BD2AC2" w:rsidRPr="00A44432" w:rsidRDefault="00BD2AC2" w:rsidP="00C55E7D">
                            <w:pPr>
                              <w:ind w:left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26DE10F" w14:textId="77777777" w:rsidR="00BD2AC2" w:rsidRDefault="00BD2AC2" w:rsidP="00C55E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B5D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9pt;margin-top:2.15pt;width:403.85pt;height:3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">
                <v:textbox>
                  <w:txbxContent>
                    <w:p w14:paraId="5EF84A33" w14:textId="77777777" w:rsidR="00BD2AC2" w:rsidRPr="00A44432" w:rsidRDefault="00BD2AC2" w:rsidP="00C55E7D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ACADEMIC HONESTY</w:t>
                      </w:r>
                    </w:p>
                    <w:p w14:paraId="76435FC4" w14:textId="77777777" w:rsidR="00BD2AC2" w:rsidRPr="00A44432" w:rsidRDefault="00BD2AC2" w:rsidP="00C55E7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1BDC8DC" w14:textId="77777777" w:rsidR="00BD2AC2" w:rsidRPr="00A44432" w:rsidRDefault="00BD2AC2" w:rsidP="00C55E7D">
                      <w:pPr>
                        <w:ind w:left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The Department of Political Science and International Relations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at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Boğaziçi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University 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has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adopted 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the following rules and regulations regarding academic honesty:</w:t>
                      </w:r>
                    </w:p>
                    <w:p w14:paraId="38CF4DB4" w14:textId="77777777" w:rsidR="00BD2AC2" w:rsidRPr="00A44432" w:rsidRDefault="00BD2AC2" w:rsidP="00C55E7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03E4CB8F" w14:textId="77777777" w:rsidR="00BD2AC2" w:rsidRPr="00A44432" w:rsidRDefault="00BD2AC2" w:rsidP="00C55E7D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Copying work from others or giving and receiving answers/information during exams either in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written,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oral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or other form constitutes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cheating.</w:t>
                      </w:r>
                    </w:p>
                    <w:p w14:paraId="7B61E644" w14:textId="77777777" w:rsidR="00BD2AC2" w:rsidRPr="00A44432" w:rsidRDefault="00BD2AC2" w:rsidP="00C55E7D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Submitting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any work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done by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somebody else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as your own, using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phrases, 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sentences or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sections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from the work of an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author without the proper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citation,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insufficient ackno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w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ledgement of consulted works, all constitute plagiarism. </w:t>
                      </w:r>
                    </w:p>
                    <w:p w14:paraId="75CBBD2E" w14:textId="77777777" w:rsidR="00BD2AC2" w:rsidRPr="00A44432" w:rsidRDefault="00BD2AC2" w:rsidP="00C55E7D">
                      <w:pPr>
                        <w:ind w:left="36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4257EEE" w14:textId="77777777" w:rsidR="00BD2AC2" w:rsidRPr="00A44432" w:rsidRDefault="00BD2AC2" w:rsidP="00C55E7D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Plagiarism and cheating are serious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academic 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offenses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,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and will result in:</w:t>
                      </w:r>
                    </w:p>
                    <w:p w14:paraId="4D83359F" w14:textId="77777777" w:rsidR="00BD2AC2" w:rsidRPr="00A44432" w:rsidRDefault="00BD2AC2" w:rsidP="00C55E7D">
                      <w:pPr>
                        <w:ind w:left="36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DACE157" w14:textId="77777777" w:rsidR="00BD2AC2" w:rsidRPr="00A44432" w:rsidRDefault="00BD2AC2" w:rsidP="00C55E7D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an automatic “F” for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the assignment or the exam</w:t>
                      </w:r>
                    </w:p>
                    <w:p w14:paraId="2C4D9282" w14:textId="77777777" w:rsidR="00BD2AC2" w:rsidRPr="00A44432" w:rsidRDefault="00BD2AC2" w:rsidP="00C55E7D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an oral explanation before the Departmental Ethics Committee</w:t>
                      </w:r>
                    </w:p>
                    <w:p w14:paraId="36FA5F24" w14:textId="77777777" w:rsidR="00BD2AC2" w:rsidRPr="00A44432" w:rsidRDefault="00BD2AC2" w:rsidP="00C55E7D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losing the opportunity to request and receive any references from the entire faculty</w:t>
                      </w:r>
                    </w:p>
                    <w:p w14:paraId="3E20C0B8" w14:textId="77777777" w:rsidR="00BD2AC2" w:rsidRPr="00A44432" w:rsidRDefault="00BD2AC2" w:rsidP="00C55E7D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losing the opportunity to apply in exchange programs</w:t>
                      </w:r>
                    </w:p>
                    <w:p w14:paraId="098E281E" w14:textId="77777777" w:rsidR="00BD2AC2" w:rsidRPr="00A44432" w:rsidRDefault="00BD2AC2" w:rsidP="00C55E7D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losing the prospects of becoming a student assistant or a graduate assistant in the department</w:t>
                      </w:r>
                    </w:p>
                    <w:p w14:paraId="2DA5AF23" w14:textId="77777777" w:rsidR="00BD2AC2" w:rsidRPr="00A44432" w:rsidRDefault="00BD2AC2" w:rsidP="00C55E7D">
                      <w:pPr>
                        <w:ind w:left="36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83C99F2" w14:textId="77777777" w:rsidR="00BD2AC2" w:rsidRPr="00A44432" w:rsidRDefault="00BD2AC2" w:rsidP="00C55E7D">
                      <w:pPr>
                        <w:ind w:left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The students may furthe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r be sent to the University Eth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ics committee or be subject to disciplinary action.</w:t>
                      </w:r>
                    </w:p>
                    <w:p w14:paraId="57EAB6A6" w14:textId="77777777" w:rsidR="00BD2AC2" w:rsidRPr="00A44432" w:rsidRDefault="00BD2AC2" w:rsidP="00C55E7D">
                      <w:pPr>
                        <w:ind w:left="36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26DE10F" w14:textId="77777777" w:rsidR="00BD2AC2" w:rsidRDefault="00BD2AC2" w:rsidP="00C55E7D"/>
                  </w:txbxContent>
                </v:textbox>
              </v:shape>
            </w:pict>
          </mc:Fallback>
        </mc:AlternateContent>
      </w:r>
      <w:r w:rsidRPr="001D7701">
        <w:rPr>
          <w:b/>
          <w:lang w:val="tr-TR"/>
        </w:rPr>
        <w:t xml:space="preserve">- New </w:t>
      </w:r>
      <w:proofErr w:type="spellStart"/>
      <w:r w:rsidRPr="001D7701">
        <w:rPr>
          <w:b/>
          <w:lang w:val="tr-TR"/>
        </w:rPr>
        <w:t>Order</w:t>
      </w:r>
      <w:proofErr w:type="spellEnd"/>
      <w:r w:rsidRPr="001D7701">
        <w:rPr>
          <w:b/>
          <w:lang w:val="tr-TR"/>
        </w:rPr>
        <w:t xml:space="preserve">: </w:t>
      </w:r>
      <w:proofErr w:type="spellStart"/>
      <w:r w:rsidRPr="001D7701">
        <w:rPr>
          <w:b/>
          <w:lang w:val="tr-TR"/>
        </w:rPr>
        <w:t>Diffusion</w:t>
      </w:r>
      <w:proofErr w:type="spellEnd"/>
      <w:r w:rsidRPr="001D7701">
        <w:rPr>
          <w:b/>
          <w:lang w:val="tr-TR"/>
        </w:rPr>
        <w:t xml:space="preserve"> of </w:t>
      </w:r>
      <w:proofErr w:type="spellStart"/>
      <w:r w:rsidRPr="001D7701">
        <w:rPr>
          <w:b/>
          <w:lang w:val="tr-TR"/>
        </w:rPr>
        <w:t>power</w:t>
      </w:r>
      <w:proofErr w:type="spellEnd"/>
      <w:r w:rsidRPr="001D7701">
        <w:rPr>
          <w:b/>
          <w:lang w:val="tr-TR"/>
        </w:rPr>
        <w:t xml:space="preserve">, </w:t>
      </w:r>
      <w:proofErr w:type="spellStart"/>
      <w:r w:rsidRPr="001D7701">
        <w:rPr>
          <w:b/>
          <w:lang w:val="tr-TR"/>
        </w:rPr>
        <w:t>designs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for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the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future</w:t>
      </w:r>
      <w:proofErr w:type="spellEnd"/>
      <w:r w:rsidRPr="001D7701">
        <w:rPr>
          <w:lang w:val="tr-TR"/>
        </w:rPr>
        <w:t>.</w:t>
      </w:r>
    </w:p>
    <w:p w14:paraId="7F0CD53B" w14:textId="77777777" w:rsidR="00C55E7D" w:rsidRPr="001D7701" w:rsidRDefault="00C55E7D" w:rsidP="00C55E7D">
      <w:pPr>
        <w:ind w:firstLine="720"/>
        <w:rPr>
          <w:lang w:val="tr-TR"/>
        </w:rPr>
      </w:pPr>
      <w:r w:rsidRPr="001D7701">
        <w:rPr>
          <w:lang w:val="tr-TR"/>
        </w:rPr>
        <w:tab/>
        <w:t>(</w:t>
      </w:r>
      <w:proofErr w:type="spellStart"/>
      <w:r w:rsidRPr="001D7701">
        <w:rPr>
          <w:lang w:val="tr-TR"/>
        </w:rPr>
        <w:t>Nye</w:t>
      </w:r>
      <w:proofErr w:type="spellEnd"/>
      <w:r w:rsidRPr="001D7701">
        <w:rPr>
          <w:lang w:val="tr-TR"/>
        </w:rPr>
        <w:t xml:space="preserve"> </w:t>
      </w:r>
      <w:proofErr w:type="spellStart"/>
      <w:r w:rsidRPr="001D7701">
        <w:rPr>
          <w:lang w:val="tr-TR"/>
        </w:rPr>
        <w:t>ch</w:t>
      </w:r>
      <w:proofErr w:type="spellEnd"/>
      <w:r w:rsidRPr="001D7701">
        <w:rPr>
          <w:lang w:val="tr-TR"/>
        </w:rPr>
        <w:t>. 8, 9)</w:t>
      </w:r>
    </w:p>
    <w:p w14:paraId="2A5D3FA5" w14:textId="77777777" w:rsidR="00C55E7D" w:rsidRPr="001D7701" w:rsidRDefault="00C55E7D" w:rsidP="00C55E7D">
      <w:pPr>
        <w:ind w:firstLine="720"/>
        <w:rPr>
          <w:lang w:val="tr-TR"/>
        </w:rPr>
      </w:pPr>
    </w:p>
    <w:p w14:paraId="565F5AE8" w14:textId="77777777" w:rsidR="00C55E7D" w:rsidRPr="001D7701" w:rsidRDefault="00C55E7D" w:rsidP="00C55E7D">
      <w:pPr>
        <w:ind w:firstLine="720"/>
        <w:rPr>
          <w:lang w:val="tr-TR"/>
        </w:rPr>
      </w:pPr>
    </w:p>
    <w:p w14:paraId="232F5870" w14:textId="77777777" w:rsidR="00C55E7D" w:rsidRPr="001D7701" w:rsidRDefault="00C55E7D" w:rsidP="00C55E7D">
      <w:pPr>
        <w:ind w:firstLine="720"/>
        <w:rPr>
          <w:lang w:val="tr-TR"/>
        </w:rPr>
      </w:pPr>
    </w:p>
    <w:p w14:paraId="6A609893" w14:textId="77777777" w:rsidR="00C55E7D" w:rsidRPr="001D7701" w:rsidRDefault="00C55E7D" w:rsidP="00C55E7D">
      <w:pPr>
        <w:rPr>
          <w:lang w:val="tr-TR"/>
        </w:rPr>
      </w:pPr>
    </w:p>
    <w:p w14:paraId="16CA4215" w14:textId="77777777" w:rsidR="00C55E7D" w:rsidRPr="001D7701" w:rsidRDefault="00C55E7D" w:rsidP="00C55E7D">
      <w:pPr>
        <w:rPr>
          <w:lang w:val="tr-TR"/>
        </w:rPr>
      </w:pPr>
    </w:p>
    <w:p w14:paraId="6855CAB6" w14:textId="77777777" w:rsidR="00C55E7D" w:rsidRPr="001D7701" w:rsidRDefault="00C55E7D" w:rsidP="00C55E7D">
      <w:pPr>
        <w:rPr>
          <w:lang w:val="tr-TR"/>
        </w:rPr>
      </w:pPr>
    </w:p>
    <w:p w14:paraId="3E4E92F7" w14:textId="77777777" w:rsidR="00C55E7D" w:rsidRPr="001D7701" w:rsidRDefault="00C55E7D" w:rsidP="00C55E7D">
      <w:pPr>
        <w:rPr>
          <w:lang w:val="tr-TR"/>
        </w:rPr>
      </w:pPr>
    </w:p>
    <w:p w14:paraId="6768E851" w14:textId="77777777" w:rsidR="00C55E7D" w:rsidRPr="001D7701" w:rsidRDefault="00C55E7D" w:rsidP="00C55E7D">
      <w:pPr>
        <w:rPr>
          <w:lang w:val="tr-TR"/>
        </w:rPr>
      </w:pPr>
    </w:p>
    <w:p w14:paraId="3EA55C6B" w14:textId="77777777" w:rsidR="00C55E7D" w:rsidRPr="001D7701" w:rsidRDefault="00C55E7D" w:rsidP="00C55E7D">
      <w:pPr>
        <w:rPr>
          <w:lang w:val="tr-TR"/>
        </w:rPr>
      </w:pPr>
    </w:p>
    <w:p w14:paraId="68D74B69" w14:textId="77777777" w:rsidR="00C55E7D" w:rsidRPr="001D7701" w:rsidRDefault="00C55E7D" w:rsidP="00C55E7D">
      <w:pPr>
        <w:rPr>
          <w:lang w:val="tr-TR"/>
        </w:rPr>
      </w:pPr>
    </w:p>
    <w:p w14:paraId="2674F37B" w14:textId="77777777" w:rsidR="00C55E7D" w:rsidRPr="001D7701" w:rsidRDefault="00C55E7D" w:rsidP="00C55E7D">
      <w:pPr>
        <w:rPr>
          <w:lang w:val="tr-TR"/>
        </w:rPr>
      </w:pPr>
    </w:p>
    <w:p w14:paraId="6FAD8495" w14:textId="77777777" w:rsidR="00C55E7D" w:rsidRPr="001D7701" w:rsidRDefault="00C55E7D" w:rsidP="00C55E7D">
      <w:pPr>
        <w:rPr>
          <w:lang w:val="tr-TR"/>
        </w:rPr>
      </w:pPr>
    </w:p>
    <w:p w14:paraId="6EC42C3B" w14:textId="77777777" w:rsidR="00C55E7D" w:rsidRPr="001D7701" w:rsidRDefault="00C55E7D" w:rsidP="00C55E7D">
      <w:pPr>
        <w:rPr>
          <w:lang w:val="tr-TR"/>
        </w:rPr>
      </w:pPr>
    </w:p>
    <w:p w14:paraId="76E1C70C" w14:textId="77777777" w:rsidR="00C55E7D" w:rsidRPr="001D7701" w:rsidRDefault="00C55E7D" w:rsidP="00C55E7D">
      <w:pPr>
        <w:rPr>
          <w:lang w:val="tr-TR"/>
        </w:rPr>
      </w:pPr>
    </w:p>
    <w:p w14:paraId="4E9DFBB0" w14:textId="77777777" w:rsidR="00C55E7D" w:rsidRPr="001D7701" w:rsidRDefault="00C55E7D" w:rsidP="00C55E7D">
      <w:pPr>
        <w:rPr>
          <w:lang w:val="tr-TR"/>
        </w:rPr>
      </w:pPr>
    </w:p>
    <w:p w14:paraId="1DCD712C" w14:textId="77777777" w:rsidR="00C55E7D" w:rsidRPr="001D7701" w:rsidRDefault="00C55E7D" w:rsidP="00C55E7D">
      <w:pPr>
        <w:rPr>
          <w:lang w:val="tr-TR"/>
        </w:rPr>
      </w:pPr>
    </w:p>
    <w:p w14:paraId="6D7B5D7A" w14:textId="77777777" w:rsidR="00C55E7D" w:rsidRPr="001D7701" w:rsidRDefault="00C55E7D" w:rsidP="00C55E7D">
      <w:pPr>
        <w:rPr>
          <w:lang w:val="tr-TR"/>
        </w:rPr>
      </w:pPr>
    </w:p>
    <w:p w14:paraId="30BE0FE0" w14:textId="77777777" w:rsidR="00C55E7D" w:rsidRPr="001D7701" w:rsidRDefault="00C55E7D" w:rsidP="00C55E7D">
      <w:pPr>
        <w:rPr>
          <w:lang w:val="tr-TR"/>
        </w:rPr>
      </w:pPr>
    </w:p>
    <w:p w14:paraId="0673D647" w14:textId="77777777" w:rsidR="00C55E7D" w:rsidRPr="001D7701" w:rsidRDefault="00C55E7D" w:rsidP="00C55E7D">
      <w:pPr>
        <w:rPr>
          <w:lang w:val="tr-TR"/>
        </w:rPr>
      </w:pPr>
    </w:p>
    <w:p w14:paraId="24F0035D" w14:textId="77777777" w:rsidR="00C55E7D" w:rsidRPr="001D7701" w:rsidRDefault="00C55E7D" w:rsidP="00C55E7D">
      <w:pPr>
        <w:rPr>
          <w:lang w:val="tr-TR"/>
        </w:rPr>
      </w:pPr>
    </w:p>
    <w:p w14:paraId="26BDC8A6" w14:textId="77777777" w:rsidR="00C55E7D" w:rsidRPr="001D7701" w:rsidRDefault="00C55E7D" w:rsidP="00C55E7D">
      <w:pPr>
        <w:spacing w:line="276" w:lineRule="auto"/>
        <w:rPr>
          <w:lang w:val="tr-TR"/>
        </w:rPr>
      </w:pPr>
    </w:p>
    <w:p w14:paraId="59C7552E" w14:textId="77777777" w:rsidR="00C55E7D" w:rsidRPr="001D7701" w:rsidRDefault="00C55E7D" w:rsidP="00C55E7D">
      <w:pPr>
        <w:rPr>
          <w:sz w:val="22"/>
          <w:szCs w:val="22"/>
        </w:rPr>
      </w:pPr>
      <w:r w:rsidRPr="001D7701">
        <w:t xml:space="preserve"> </w:t>
      </w:r>
    </w:p>
    <w:p w14:paraId="1495B9D9" w14:textId="0A272432" w:rsidR="00C55E7D" w:rsidRDefault="00C55E7D">
      <w:r>
        <w:tab/>
        <w:t xml:space="preserve">This course is designed as an introduction to political geography from a perspective of “geographical consequences of competing sovereignties” in today’s world. The main </w:t>
      </w:r>
      <w:r w:rsidR="0027473A">
        <w:t>focus will be on the r</w:t>
      </w:r>
      <w:r>
        <w:t>elationship between politics and territory</w:t>
      </w:r>
      <w:r w:rsidR="0027473A">
        <w:t>, in other words,</w:t>
      </w:r>
      <w:r>
        <w:t xml:space="preserve"> how politics relates to geography</w:t>
      </w:r>
      <w:r w:rsidR="0027473A">
        <w:t xml:space="preserve"> and vice-</w:t>
      </w:r>
      <w:r>
        <w:t>versa.</w:t>
      </w:r>
      <w:r w:rsidR="0027473A">
        <w:t xml:space="preserve"> </w:t>
      </w:r>
    </w:p>
    <w:p w14:paraId="2F6A9CC8" w14:textId="77777777" w:rsidR="0027473A" w:rsidRDefault="0027473A"/>
    <w:p w14:paraId="280D5E81" w14:textId="35CFD3E2" w:rsidR="0027473A" w:rsidRDefault="0027473A">
      <w:r>
        <w:t>Grading</w:t>
      </w:r>
      <w:r w:rsidR="000A0B08">
        <w:t xml:space="preserve"> will be based on </w:t>
      </w:r>
      <w:proofErr w:type="spellStart"/>
      <w:r w:rsidR="000A0B08">
        <w:t>attendence</w:t>
      </w:r>
      <w:proofErr w:type="spellEnd"/>
      <w:r w:rsidR="000A0B08">
        <w:t xml:space="preserve"> (15%), a midterm (40</w:t>
      </w:r>
      <w:r>
        <w:t xml:space="preserve">%), </w:t>
      </w:r>
      <w:r w:rsidR="000A0B08">
        <w:t>and a take home  final paper (</w:t>
      </w:r>
      <w:r>
        <w:t xml:space="preserve"> %</w:t>
      </w:r>
      <w:r w:rsidR="000A0B08">
        <w:t>45</w:t>
      </w:r>
      <w:r>
        <w:t>).</w:t>
      </w:r>
    </w:p>
    <w:p w14:paraId="4AA2D428" w14:textId="77777777" w:rsidR="0027473A" w:rsidRDefault="0027473A"/>
    <w:p w14:paraId="021CFBC7" w14:textId="77777777" w:rsidR="001A5B77" w:rsidRDefault="0027473A" w:rsidP="0027473A">
      <w:pPr>
        <w:rPr>
          <w:lang w:val="tr-TR"/>
        </w:rPr>
      </w:pPr>
      <w:proofErr w:type="spellStart"/>
      <w:r w:rsidRPr="00576A8A">
        <w:rPr>
          <w:b/>
          <w:lang w:val="tr-TR"/>
        </w:rPr>
        <w:t>Introductory</w:t>
      </w:r>
      <w:proofErr w:type="spellEnd"/>
      <w:r w:rsidRPr="00576A8A">
        <w:rPr>
          <w:b/>
          <w:lang w:val="tr-TR"/>
        </w:rPr>
        <w:t xml:space="preserve"> </w:t>
      </w:r>
      <w:proofErr w:type="spellStart"/>
      <w:r w:rsidRPr="00576A8A">
        <w:rPr>
          <w:b/>
          <w:lang w:val="tr-TR"/>
        </w:rPr>
        <w:t>reading</w:t>
      </w:r>
      <w:proofErr w:type="spellEnd"/>
      <w:r w:rsidR="000A0B08" w:rsidRPr="00576A8A">
        <w:rPr>
          <w:b/>
          <w:lang w:val="tr-TR"/>
        </w:rPr>
        <w:t xml:space="preserve"> </w:t>
      </w:r>
      <w:proofErr w:type="spellStart"/>
      <w:r w:rsidR="000A0B08" w:rsidRPr="00576A8A">
        <w:rPr>
          <w:b/>
          <w:lang w:val="tr-TR"/>
        </w:rPr>
        <w:t>material</w:t>
      </w:r>
      <w:proofErr w:type="spellEnd"/>
      <w:r w:rsidR="000A0B08">
        <w:rPr>
          <w:lang w:val="tr-TR"/>
        </w:rPr>
        <w:t xml:space="preserve"> </w:t>
      </w:r>
      <w:proofErr w:type="spellStart"/>
      <w:r w:rsidR="000A0B08">
        <w:rPr>
          <w:lang w:val="tr-TR"/>
        </w:rPr>
        <w:t>consist</w:t>
      </w:r>
      <w:proofErr w:type="spellEnd"/>
      <w:r w:rsidR="000A0B08">
        <w:rPr>
          <w:lang w:val="tr-TR"/>
        </w:rPr>
        <w:t xml:space="preserve"> of  </w:t>
      </w:r>
    </w:p>
    <w:p w14:paraId="1C22DE7A" w14:textId="77777777" w:rsidR="001A5B77" w:rsidRDefault="001A5B77" w:rsidP="0027473A"/>
    <w:p w14:paraId="17EB5679" w14:textId="2CF3B2E6" w:rsidR="0027473A" w:rsidRPr="008A3187" w:rsidRDefault="0027473A" w:rsidP="0027473A">
      <w:r w:rsidRPr="008A3187">
        <w:t xml:space="preserve">Jones, Martin et al. </w:t>
      </w:r>
      <w:r w:rsidRPr="008A3187">
        <w:rPr>
          <w:i/>
        </w:rPr>
        <w:t>An Introduction to Political Geography: Space, Place and Politics</w:t>
      </w:r>
      <w:r w:rsidRPr="008A3187">
        <w:t>.  Londo</w:t>
      </w:r>
      <w:r w:rsidR="000A0B08" w:rsidRPr="008A3187">
        <w:t xml:space="preserve">n and New York: Routledge, 2007; and  </w:t>
      </w:r>
      <w:r w:rsidRPr="008A3187">
        <w:t xml:space="preserve">Anderson, Martin. </w:t>
      </w:r>
      <w:r w:rsidRPr="008A3187">
        <w:rPr>
          <w:i/>
        </w:rPr>
        <w:t>Frontiers: Territory and State Formation in the Modern World.</w:t>
      </w:r>
      <w:r w:rsidRPr="008A3187">
        <w:t xml:space="preserve"> Cambridge: Polity Press, 1996.</w:t>
      </w:r>
    </w:p>
    <w:p w14:paraId="246248C1" w14:textId="77777777" w:rsidR="001A5B77" w:rsidRPr="008A3187" w:rsidRDefault="001A5B77" w:rsidP="001A5B77">
      <w:bookmarkStart w:id="0" w:name="_GoBack"/>
      <w:bookmarkEnd w:id="0"/>
    </w:p>
    <w:p w14:paraId="01EC7D42" w14:textId="68E3A101" w:rsidR="001A5B77" w:rsidRPr="008A3187" w:rsidRDefault="001A5B77" w:rsidP="001A5B77">
      <w:proofErr w:type="spellStart"/>
      <w:r w:rsidRPr="008A3187">
        <w:lastRenderedPageBreak/>
        <w:t>Paasi</w:t>
      </w:r>
      <w:proofErr w:type="spellEnd"/>
      <w:r w:rsidRPr="008A3187">
        <w:t xml:space="preserve">, </w:t>
      </w:r>
      <w:proofErr w:type="spellStart"/>
      <w:r w:rsidRPr="008A3187">
        <w:t>Anssi</w:t>
      </w:r>
      <w:proofErr w:type="spellEnd"/>
      <w:r w:rsidRPr="008A3187">
        <w:t xml:space="preserve"> </w:t>
      </w:r>
      <w:r w:rsidRPr="008A3187">
        <w:rPr>
          <w:i/>
        </w:rPr>
        <w:t>et al.</w:t>
      </w:r>
      <w:r w:rsidRPr="008A3187">
        <w:t xml:space="preserve"> “</w:t>
      </w:r>
      <w:r w:rsidRPr="008A3187">
        <w:t>Locating the territoriality of territory in border studies</w:t>
      </w:r>
      <w:r w:rsidRPr="008A3187">
        <w:t>”</w:t>
      </w:r>
      <w:r w:rsidRPr="008A3187">
        <w:rPr>
          <w:i/>
        </w:rPr>
        <w:t xml:space="preserve"> </w:t>
      </w:r>
      <w:r w:rsidRPr="008A3187">
        <w:rPr>
          <w:i/>
        </w:rPr>
        <w:t>Political Geography</w:t>
      </w:r>
      <w:r w:rsidRPr="008A3187">
        <w:t xml:space="preserve"> Volume 95, May 2022</w:t>
      </w:r>
      <w:r w:rsidR="008A3187" w:rsidRPr="008A3187">
        <w:t xml:space="preserve"> https://www.sciencedirect.com/science/article/pii/S0962629821002444</w:t>
      </w:r>
    </w:p>
    <w:p w14:paraId="200A9E8E" w14:textId="77777777" w:rsidR="00A26197" w:rsidRPr="008A3187" w:rsidRDefault="00A26197" w:rsidP="00A26197">
      <w:pPr>
        <w:rPr>
          <w:rFonts w:eastAsia="Times New Roman" w:cs="Times New Roman"/>
          <w:color w:val="333333"/>
          <w:shd w:val="clear" w:color="auto" w:fill="FFFFFF"/>
          <w:lang w:val="tr-TR"/>
        </w:rPr>
      </w:pPr>
    </w:p>
    <w:p w14:paraId="483FA552" w14:textId="7FA48823" w:rsidR="00A26197" w:rsidRPr="00A26197" w:rsidRDefault="00A26197" w:rsidP="00A26197">
      <w:pPr>
        <w:rPr>
          <w:rFonts w:eastAsia="Times New Roman" w:cs="Arial"/>
          <w:lang w:val="tr-TR"/>
        </w:rPr>
      </w:pP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Balistreri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, </w:t>
      </w:r>
      <w:r w:rsidRPr="00A26197">
        <w:rPr>
          <w:rFonts w:eastAsia="Times New Roman" w:cs="Arial"/>
          <w:color w:val="333333"/>
          <w:shd w:val="clear" w:color="auto" w:fill="FFFFFF"/>
          <w:lang w:val="tr-TR"/>
        </w:rPr>
        <w:t>Alexander E. "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Revisiting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Millî: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Borders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and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the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Making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of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the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Turkish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Nation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State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," in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Jordi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Tejel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and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Ramazan Hakkı Öztan (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eds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.) </w:t>
      </w:r>
      <w:proofErr w:type="spellStart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>Regimes</w:t>
      </w:r>
      <w:proofErr w:type="spellEnd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 xml:space="preserve"> of </w:t>
      </w:r>
      <w:proofErr w:type="spellStart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>Mobility</w:t>
      </w:r>
      <w:proofErr w:type="spellEnd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 xml:space="preserve">: </w:t>
      </w:r>
      <w:proofErr w:type="spellStart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>Borders</w:t>
      </w:r>
      <w:proofErr w:type="spellEnd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>and</w:t>
      </w:r>
      <w:proofErr w:type="spellEnd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>State</w:t>
      </w:r>
      <w:proofErr w:type="spellEnd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>Formation</w:t>
      </w:r>
      <w:proofErr w:type="spellEnd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 xml:space="preserve"> in </w:t>
      </w:r>
      <w:proofErr w:type="spellStart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>the</w:t>
      </w:r>
      <w:proofErr w:type="spellEnd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>Middle</w:t>
      </w:r>
      <w:proofErr w:type="spellEnd"/>
      <w:r w:rsidRPr="00A26197">
        <w:rPr>
          <w:rFonts w:eastAsia="Times New Roman" w:cs="Arial"/>
          <w:i/>
          <w:color w:val="333333"/>
          <w:shd w:val="clear" w:color="auto" w:fill="FFFFFF"/>
          <w:lang w:val="tr-TR"/>
        </w:rPr>
        <w:t xml:space="preserve"> East, 1918-1946</w:t>
      </w:r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(Edinburgh: Edinburgh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University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 xml:space="preserve"> </w:t>
      </w:r>
      <w:proofErr w:type="spellStart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Press</w:t>
      </w:r>
      <w:proofErr w:type="spellEnd"/>
      <w:r w:rsidRPr="00A26197">
        <w:rPr>
          <w:rFonts w:eastAsia="Times New Roman" w:cs="Arial"/>
          <w:color w:val="333333"/>
          <w:shd w:val="clear" w:color="auto" w:fill="FFFFFF"/>
          <w:lang w:val="tr-TR"/>
        </w:rPr>
        <w:t>, 2022), 29-58.</w:t>
      </w:r>
    </w:p>
    <w:p w14:paraId="3F917B5F" w14:textId="77777777" w:rsidR="00EA5463" w:rsidRPr="008A3187" w:rsidRDefault="00EA5463" w:rsidP="0027473A">
      <w:pPr>
        <w:rPr>
          <w:rFonts w:ascii="Arial" w:hAnsi="Arial" w:cs="Arial"/>
        </w:rPr>
      </w:pPr>
    </w:p>
    <w:p w14:paraId="01005667" w14:textId="04FF63F8" w:rsidR="000A0B08" w:rsidRDefault="000A0B08" w:rsidP="0027473A">
      <w:pPr>
        <w:rPr>
          <w:b/>
        </w:rPr>
      </w:pPr>
      <w:r w:rsidRPr="00576A8A">
        <w:rPr>
          <w:b/>
        </w:rPr>
        <w:t>The following documents are also assigned:</w:t>
      </w:r>
    </w:p>
    <w:p w14:paraId="032FBAB9" w14:textId="77777777" w:rsidR="00576A8A" w:rsidRPr="00576A8A" w:rsidRDefault="00576A8A" w:rsidP="0027473A">
      <w:pPr>
        <w:rPr>
          <w:b/>
        </w:rPr>
      </w:pPr>
    </w:p>
    <w:p w14:paraId="52238334" w14:textId="6ABD0CF7" w:rsidR="00EA5463" w:rsidRDefault="00BD2AC2" w:rsidP="0027473A">
      <w:r>
        <w:t xml:space="preserve">-- </w:t>
      </w:r>
      <w:r w:rsidR="00EA5463">
        <w:t xml:space="preserve">The UN Charter </w:t>
      </w:r>
      <w:r w:rsidR="00576A8A">
        <w:t>(Chapter I)</w:t>
      </w:r>
    </w:p>
    <w:p w14:paraId="7390D280" w14:textId="4D0B6550" w:rsidR="00EA5463" w:rsidRDefault="00BD2AC2" w:rsidP="0027473A">
      <w:r>
        <w:t xml:space="preserve">-- </w:t>
      </w:r>
      <w:r w:rsidR="00EA5463" w:rsidRPr="00EA5463">
        <w:t>The Montevideo Convention on the Rights</w:t>
      </w:r>
      <w:r w:rsidR="00EA5463">
        <w:t xml:space="preserve"> and Duties of States (1933)</w:t>
      </w:r>
    </w:p>
    <w:p w14:paraId="05A14512" w14:textId="77777777" w:rsidR="00BD2AC2" w:rsidRDefault="00BD2AC2" w:rsidP="0027473A">
      <w:r>
        <w:t xml:space="preserve">-- </w:t>
      </w:r>
      <w:r w:rsidR="00EA5463">
        <w:t>The Lausanne Peace Treaty (1923)</w:t>
      </w:r>
      <w:r w:rsidRPr="00BD2AC2">
        <w:t xml:space="preserve"> </w:t>
      </w:r>
    </w:p>
    <w:p w14:paraId="03D489C3" w14:textId="2E42D2AC" w:rsidR="00EA5463" w:rsidRDefault="00BD2AC2" w:rsidP="0027473A">
      <w:r>
        <w:t>-- Montreux Convention Regarding the Regime of the Straits (1936)</w:t>
      </w:r>
    </w:p>
    <w:p w14:paraId="1AF418A8" w14:textId="080C4E8F" w:rsidR="00BD2AC2" w:rsidRDefault="00BD2AC2" w:rsidP="0027473A">
      <w:r>
        <w:t xml:space="preserve">-- </w:t>
      </w:r>
      <w:r w:rsidRPr="00BD2AC2">
        <w:t>The Convention on International Civil Aviation</w:t>
      </w:r>
      <w:r>
        <w:t xml:space="preserve"> (1947)</w:t>
      </w:r>
    </w:p>
    <w:p w14:paraId="6D285F87" w14:textId="1911C142" w:rsidR="00BD2AC2" w:rsidRDefault="00BD2AC2" w:rsidP="0027473A">
      <w:r>
        <w:t>-- T</w:t>
      </w:r>
      <w:r w:rsidRPr="00BD2AC2">
        <w:t xml:space="preserve">he Treaty on Principles Governing the Activities of States in the Exploration </w:t>
      </w:r>
      <w:r>
        <w:tab/>
      </w:r>
      <w:r w:rsidRPr="00BD2AC2">
        <w:t>and Use of Outer Space, including the Moon and Other Celestial Bodies</w:t>
      </w:r>
      <w:r>
        <w:t xml:space="preserve"> </w:t>
      </w:r>
      <w:r>
        <w:tab/>
        <w:t>(1967)</w:t>
      </w:r>
    </w:p>
    <w:p w14:paraId="547DD766" w14:textId="5498D39F" w:rsidR="00EA5463" w:rsidRDefault="00BD2AC2" w:rsidP="0027473A">
      <w:r>
        <w:t xml:space="preserve">-- </w:t>
      </w:r>
      <w:r w:rsidR="00EA5463" w:rsidRPr="00EA5463">
        <w:t xml:space="preserve">The Agreement Governing the Activities of States on the Moon and Other </w:t>
      </w:r>
      <w:r w:rsidR="00EA5463">
        <w:tab/>
      </w:r>
      <w:r w:rsidR="00EA5463" w:rsidRPr="00EA5463">
        <w:t>Celestial Bodies</w:t>
      </w:r>
      <w:r w:rsidR="00EA5463">
        <w:t xml:space="preserve"> (1979)</w:t>
      </w:r>
    </w:p>
    <w:p w14:paraId="65C728F6" w14:textId="1F4EF0B7" w:rsidR="00EA5463" w:rsidRDefault="00BD2AC2" w:rsidP="0027473A">
      <w:r>
        <w:t xml:space="preserve">-- </w:t>
      </w:r>
      <w:r w:rsidR="00EA5463">
        <w:t>International Convention for the Safety of Life at Sea (1974)</w:t>
      </w:r>
    </w:p>
    <w:p w14:paraId="3D5A4286" w14:textId="16FF60E1" w:rsidR="00576A8A" w:rsidRDefault="00576A8A" w:rsidP="0027473A">
      <w:r>
        <w:t>-- The United Nations Convention on the Law of the Sea (1982)</w:t>
      </w:r>
    </w:p>
    <w:p w14:paraId="1460EF63" w14:textId="591B0E57" w:rsidR="00BD2AC2" w:rsidRDefault="00BD2AC2" w:rsidP="0027473A">
      <w:r>
        <w:t xml:space="preserve">-- </w:t>
      </w:r>
      <w:r w:rsidR="00EA5463" w:rsidRPr="00EA5463">
        <w:t xml:space="preserve">Convention on the Law of the Non-navigational Uses </w:t>
      </w:r>
      <w:r w:rsidR="00576A8A">
        <w:t>of I</w:t>
      </w:r>
      <w:r w:rsidR="00EA5463">
        <w:t xml:space="preserve">nternational </w:t>
      </w:r>
      <w:r w:rsidR="00EA5463">
        <w:tab/>
        <w:t>Watercourses (</w:t>
      </w:r>
      <w:r w:rsidR="00EA5463" w:rsidRPr="00EA5463">
        <w:t>1997</w:t>
      </w:r>
      <w:r w:rsidR="00EA5463">
        <w:t>)</w:t>
      </w:r>
    </w:p>
    <w:p w14:paraId="3BD8EF36" w14:textId="77777777" w:rsidR="00576A8A" w:rsidRPr="00576A8A" w:rsidRDefault="00EA5463" w:rsidP="0027473A">
      <w:pPr>
        <w:rPr>
          <w:b/>
        </w:rPr>
      </w:pPr>
      <w:r w:rsidRPr="00576A8A">
        <w:rPr>
          <w:b/>
        </w:rPr>
        <w:tab/>
      </w:r>
    </w:p>
    <w:p w14:paraId="24060858" w14:textId="0C5DBD31" w:rsidR="000A0B08" w:rsidRPr="00576A8A" w:rsidRDefault="000A0B08" w:rsidP="0027473A">
      <w:pPr>
        <w:rPr>
          <w:b/>
        </w:rPr>
      </w:pPr>
      <w:r w:rsidRPr="00576A8A">
        <w:rPr>
          <w:b/>
        </w:rPr>
        <w:t>The topics for lecture and discussion are as follows:</w:t>
      </w:r>
    </w:p>
    <w:p w14:paraId="3D18F612" w14:textId="77777777" w:rsidR="00A3224D" w:rsidRDefault="00A3224D"/>
    <w:p w14:paraId="7177A77D" w14:textId="77777777" w:rsidR="00C55E7D" w:rsidRDefault="00C55E7D" w:rsidP="00C55E7D">
      <w:r w:rsidRPr="00E21A62">
        <w:t>WORLD: THE PLANET EARTH</w:t>
      </w:r>
    </w:p>
    <w:p w14:paraId="16614D70" w14:textId="77777777" w:rsidR="00C55E7D" w:rsidRDefault="00C55E7D" w:rsidP="00C55E7D">
      <w:r>
        <w:t>Continents</w:t>
      </w:r>
    </w:p>
    <w:p w14:paraId="2DE4923D" w14:textId="77777777" w:rsidR="00C55E7D" w:rsidRDefault="00C55E7D" w:rsidP="00C55E7D">
      <w:r>
        <w:t>Land – water</w:t>
      </w:r>
    </w:p>
    <w:p w14:paraId="34CAEBC1" w14:textId="77777777" w:rsidR="00C55E7D" w:rsidRDefault="00C55E7D" w:rsidP="00C55E7D">
      <w:r>
        <w:t>States: population, territory, organization, recognition</w:t>
      </w:r>
    </w:p>
    <w:p w14:paraId="67C30A6D" w14:textId="77777777" w:rsidR="00C55E7D" w:rsidRDefault="00C55E7D" w:rsidP="00C55E7D">
      <w:r>
        <w:tab/>
        <w:t xml:space="preserve">UN </w:t>
      </w:r>
      <w:proofErr w:type="spellStart"/>
      <w:r>
        <w:t>Geoscheme</w:t>
      </w:r>
      <w:proofErr w:type="spellEnd"/>
    </w:p>
    <w:p w14:paraId="4073E418" w14:textId="77777777" w:rsidR="00C55E7D" w:rsidRPr="00E21A62" w:rsidRDefault="00C55E7D" w:rsidP="00C55E7D"/>
    <w:p w14:paraId="39024728" w14:textId="77777777" w:rsidR="00C55E7D" w:rsidRDefault="00C55E7D" w:rsidP="00C55E7D">
      <w:r>
        <w:t>STATE TERRITORIES:</w:t>
      </w:r>
    </w:p>
    <w:p w14:paraId="2770AC97" w14:textId="77777777" w:rsidR="00C55E7D" w:rsidRDefault="00C55E7D" w:rsidP="00C55E7D">
      <w:r>
        <w:t>Border/boundary/frontier</w:t>
      </w:r>
    </w:p>
    <w:p w14:paraId="2899D547" w14:textId="77777777" w:rsidR="00C55E7D" w:rsidRDefault="00C55E7D" w:rsidP="00C55E7D">
      <w:r>
        <w:t>Land borders</w:t>
      </w:r>
    </w:p>
    <w:p w14:paraId="3097D604" w14:textId="77777777" w:rsidR="00C55E7D" w:rsidRDefault="00C55E7D" w:rsidP="00C55E7D">
      <w:r>
        <w:tab/>
        <w:t>Enclaves</w:t>
      </w:r>
    </w:p>
    <w:p w14:paraId="4BFA2D65" w14:textId="77777777" w:rsidR="00C55E7D" w:rsidRDefault="00C55E7D" w:rsidP="00C55E7D">
      <w:r>
        <w:tab/>
        <w:t>Exclaves</w:t>
      </w:r>
    </w:p>
    <w:p w14:paraId="57AC62A4" w14:textId="77777777" w:rsidR="00C55E7D" w:rsidRDefault="00C55E7D" w:rsidP="00C55E7D">
      <w:r>
        <w:tab/>
        <w:t>Boundary delimitation</w:t>
      </w:r>
    </w:p>
    <w:p w14:paraId="0B511D73" w14:textId="77777777" w:rsidR="00C55E7D" w:rsidRDefault="00C55E7D" w:rsidP="00C55E7D">
      <w:pPr>
        <w:rPr>
          <w:lang w:val="tr-TR"/>
        </w:rPr>
      </w:pPr>
      <w:r>
        <w:t>Maritime borders</w:t>
      </w:r>
      <w:r w:rsidRPr="00A3224D">
        <w:rPr>
          <w:lang w:val="tr-TR"/>
        </w:rPr>
        <w:t xml:space="preserve"> </w:t>
      </w:r>
    </w:p>
    <w:p w14:paraId="41E37F85" w14:textId="77777777" w:rsidR="00C55E7D" w:rsidRDefault="00C55E7D" w:rsidP="00C55E7D">
      <w:pPr>
        <w:rPr>
          <w:lang w:val="tr-TR"/>
        </w:rPr>
      </w:pPr>
      <w:r>
        <w:rPr>
          <w:lang w:val="tr-TR"/>
        </w:rPr>
        <w:tab/>
      </w:r>
      <w:proofErr w:type="spellStart"/>
      <w:r>
        <w:rPr>
          <w:lang w:val="tr-TR"/>
        </w:rPr>
        <w:t>Seas</w:t>
      </w:r>
      <w:proofErr w:type="spellEnd"/>
      <w:r>
        <w:rPr>
          <w:lang w:val="tr-TR"/>
        </w:rPr>
        <w:t xml:space="preserve">: </w:t>
      </w:r>
      <w:proofErr w:type="spellStart"/>
      <w:r>
        <w:rPr>
          <w:lang w:val="tr-TR"/>
        </w:rPr>
        <w:t>internal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waters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territorial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waters</w:t>
      </w:r>
      <w:proofErr w:type="spellEnd"/>
      <w:r>
        <w:rPr>
          <w:lang w:val="tr-TR"/>
        </w:rPr>
        <w:t>/</w:t>
      </w:r>
      <w:proofErr w:type="spellStart"/>
      <w:r>
        <w:rPr>
          <w:lang w:val="tr-TR"/>
        </w:rPr>
        <w:t>seas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international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waters</w:t>
      </w:r>
      <w:proofErr w:type="spellEnd"/>
      <w:r>
        <w:rPr>
          <w:lang w:val="tr-TR"/>
        </w:rPr>
        <w:t>/</w:t>
      </w:r>
      <w:proofErr w:type="spellStart"/>
      <w:r>
        <w:rPr>
          <w:lang w:val="tr-TR"/>
        </w:rPr>
        <w:t>high</w:t>
      </w:r>
      <w:proofErr w:type="spellEnd"/>
      <w:r>
        <w:rPr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proofErr w:type="spellStart"/>
      <w:r>
        <w:rPr>
          <w:lang w:val="tr-TR"/>
        </w:rPr>
        <w:t>seas</w:t>
      </w:r>
      <w:proofErr w:type="spellEnd"/>
    </w:p>
    <w:p w14:paraId="4F9FFABD" w14:textId="77777777" w:rsidR="00C55E7D" w:rsidRDefault="00C55E7D" w:rsidP="00C55E7D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proofErr w:type="spellStart"/>
      <w:r>
        <w:rPr>
          <w:lang w:val="tr-TR"/>
        </w:rPr>
        <w:t>Innocent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passage</w:t>
      </w:r>
      <w:proofErr w:type="spellEnd"/>
      <w:r>
        <w:rPr>
          <w:lang w:val="tr-TR"/>
        </w:rPr>
        <w:t xml:space="preserve"> – transit </w:t>
      </w:r>
      <w:proofErr w:type="spellStart"/>
      <w:r>
        <w:rPr>
          <w:lang w:val="tr-TR"/>
        </w:rPr>
        <w:t>passage</w:t>
      </w:r>
      <w:proofErr w:type="spellEnd"/>
    </w:p>
    <w:p w14:paraId="4763144E" w14:textId="77777777" w:rsidR="00C55E7D" w:rsidRPr="00E21A62" w:rsidRDefault="00C55E7D" w:rsidP="00C55E7D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Commercial </w:t>
      </w:r>
      <w:proofErr w:type="spellStart"/>
      <w:r>
        <w:rPr>
          <w:lang w:val="tr-TR"/>
        </w:rPr>
        <w:t>vs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state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vessels</w:t>
      </w:r>
      <w:proofErr w:type="spellEnd"/>
    </w:p>
    <w:p w14:paraId="3F0EC08A" w14:textId="77777777" w:rsidR="00C55E7D" w:rsidRDefault="00C55E7D" w:rsidP="00C55E7D">
      <w:r>
        <w:tab/>
        <w:t>Contiguous Zone</w:t>
      </w:r>
    </w:p>
    <w:p w14:paraId="33FD3D8F" w14:textId="77777777" w:rsidR="00C55E7D" w:rsidRDefault="00C55E7D" w:rsidP="00C55E7D">
      <w:r>
        <w:tab/>
        <w:t>Exclusive Economic Zone</w:t>
      </w:r>
    </w:p>
    <w:p w14:paraId="152F5F1C" w14:textId="77777777" w:rsidR="00C55E7D" w:rsidRDefault="00C55E7D" w:rsidP="00C55E7D">
      <w:r>
        <w:tab/>
        <w:t>Continental Shelf</w:t>
      </w:r>
    </w:p>
    <w:p w14:paraId="55606593" w14:textId="77777777" w:rsidR="00C55E7D" w:rsidRDefault="00C55E7D" w:rsidP="00C55E7D">
      <w:pPr>
        <w:rPr>
          <w:lang w:val="tr-TR"/>
        </w:rPr>
      </w:pPr>
      <w:r>
        <w:tab/>
      </w:r>
      <w:proofErr w:type="spellStart"/>
      <w:r>
        <w:rPr>
          <w:lang w:val="tr-TR"/>
        </w:rPr>
        <w:t>Islands</w:t>
      </w:r>
      <w:proofErr w:type="spellEnd"/>
    </w:p>
    <w:p w14:paraId="6E259F47" w14:textId="77777777" w:rsidR="00C55E7D" w:rsidRDefault="00C55E7D" w:rsidP="00C55E7D">
      <w:pPr>
        <w:rPr>
          <w:lang w:val="tr-TR"/>
        </w:rPr>
      </w:pPr>
      <w:r>
        <w:rPr>
          <w:lang w:val="tr-TR"/>
        </w:rPr>
        <w:lastRenderedPageBreak/>
        <w:tab/>
      </w:r>
      <w:r>
        <w:rPr>
          <w:lang w:val="tr-TR"/>
        </w:rPr>
        <w:tab/>
      </w:r>
      <w:proofErr w:type="spellStart"/>
      <w:r>
        <w:rPr>
          <w:lang w:val="tr-TR"/>
        </w:rPr>
        <w:t>islets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rocks</w:t>
      </w:r>
      <w:proofErr w:type="spellEnd"/>
    </w:p>
    <w:p w14:paraId="345C4FB2" w14:textId="77777777" w:rsidR="00C55E7D" w:rsidRPr="00E21A62" w:rsidRDefault="00C55E7D" w:rsidP="00C55E7D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proofErr w:type="spellStart"/>
      <w:r>
        <w:rPr>
          <w:lang w:val="tr-TR"/>
        </w:rPr>
        <w:t>artificial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islands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installations</w:t>
      </w:r>
      <w:proofErr w:type="spellEnd"/>
    </w:p>
    <w:p w14:paraId="546A1E87" w14:textId="77777777" w:rsidR="00C55E7D" w:rsidRDefault="00C55E7D" w:rsidP="00C55E7D">
      <w:pPr>
        <w:rPr>
          <w:lang w:val="tr-TR"/>
        </w:rPr>
      </w:pPr>
      <w:r>
        <w:rPr>
          <w:lang w:val="tr-TR"/>
        </w:rPr>
        <w:tab/>
      </w:r>
      <w:proofErr w:type="spellStart"/>
      <w:r>
        <w:rPr>
          <w:lang w:val="tr-TR"/>
        </w:rPr>
        <w:t>Archipelagos</w:t>
      </w:r>
      <w:proofErr w:type="spellEnd"/>
    </w:p>
    <w:p w14:paraId="06220A19" w14:textId="77777777" w:rsidR="00C55E7D" w:rsidRDefault="00C55E7D" w:rsidP="00C55E7D">
      <w:pPr>
        <w:rPr>
          <w:lang w:val="tr-TR"/>
        </w:rPr>
      </w:pPr>
      <w:r>
        <w:rPr>
          <w:lang w:val="tr-TR"/>
        </w:rPr>
        <w:tab/>
      </w:r>
      <w:proofErr w:type="spellStart"/>
      <w:r>
        <w:rPr>
          <w:lang w:val="tr-TR"/>
        </w:rPr>
        <w:t>Enclosed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</w:t>
      </w:r>
      <w:proofErr w:type="spellEnd"/>
      <w:r>
        <w:rPr>
          <w:lang w:val="tr-TR"/>
        </w:rPr>
        <w:t xml:space="preserve"> semi-</w:t>
      </w:r>
      <w:proofErr w:type="spellStart"/>
      <w:r>
        <w:rPr>
          <w:lang w:val="tr-TR"/>
        </w:rPr>
        <w:t>enclosed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seas</w:t>
      </w:r>
      <w:proofErr w:type="spellEnd"/>
      <w:r>
        <w:rPr>
          <w:lang w:val="tr-TR"/>
        </w:rPr>
        <w:t xml:space="preserve"> </w:t>
      </w:r>
    </w:p>
    <w:p w14:paraId="62EA0785" w14:textId="77777777" w:rsidR="00C55E7D" w:rsidRPr="00E21A62" w:rsidRDefault="00C55E7D" w:rsidP="00C55E7D">
      <w:r>
        <w:rPr>
          <w:lang w:val="tr-TR"/>
        </w:rPr>
        <w:tab/>
      </w:r>
      <w:r>
        <w:t>Natural sea passages</w:t>
      </w:r>
    </w:p>
    <w:p w14:paraId="472F5A20" w14:textId="77777777" w:rsidR="00C55E7D" w:rsidRDefault="00C55E7D" w:rsidP="00C55E7D">
      <w:r>
        <w:tab/>
      </w:r>
      <w:r>
        <w:tab/>
        <w:t>“straits used for international navigation”</w:t>
      </w:r>
    </w:p>
    <w:p w14:paraId="7EA14B2C" w14:textId="77777777" w:rsidR="00C55E7D" w:rsidRDefault="00C55E7D" w:rsidP="00C55E7D">
      <w:r>
        <w:tab/>
        <w:t>Canals</w:t>
      </w:r>
      <w:r w:rsidRPr="00A3224D">
        <w:t xml:space="preserve"> </w:t>
      </w:r>
    </w:p>
    <w:p w14:paraId="0CCDD71D" w14:textId="77777777" w:rsidR="00C55E7D" w:rsidRDefault="00C55E7D" w:rsidP="00C55E7D">
      <w:r>
        <w:tab/>
        <w:t>Landlocked states</w:t>
      </w:r>
    </w:p>
    <w:p w14:paraId="5A46ACA6" w14:textId="77777777" w:rsidR="008E0A1E" w:rsidRDefault="008E0A1E" w:rsidP="00C55E7D"/>
    <w:p w14:paraId="4FC23E63" w14:textId="77777777" w:rsidR="00C55E7D" w:rsidRDefault="00C55E7D" w:rsidP="00C55E7D">
      <w:r>
        <w:t>Watercourses</w:t>
      </w:r>
    </w:p>
    <w:p w14:paraId="69E04769" w14:textId="77777777" w:rsidR="00C55E7D" w:rsidRDefault="00C55E7D" w:rsidP="00C55E7D">
      <w:r>
        <w:tab/>
        <w:t>Rivers, lakes, aquifers</w:t>
      </w:r>
    </w:p>
    <w:p w14:paraId="5C20731D" w14:textId="77777777" w:rsidR="00C55E7D" w:rsidRDefault="00C55E7D" w:rsidP="00C55E7D">
      <w:r>
        <w:tab/>
        <w:t>Navigational vs non-navigational uses</w:t>
      </w:r>
    </w:p>
    <w:p w14:paraId="63ED15EC" w14:textId="77777777" w:rsidR="00C55E7D" w:rsidRDefault="00C55E7D" w:rsidP="00C55E7D">
      <w:r>
        <w:tab/>
        <w:t>International /transboundary watercourses</w:t>
      </w:r>
    </w:p>
    <w:p w14:paraId="196ED847" w14:textId="77777777" w:rsidR="00C55E7D" w:rsidRDefault="00C55E7D" w:rsidP="00C55E7D">
      <w:r>
        <w:tab/>
        <w:t>River basins</w:t>
      </w:r>
    </w:p>
    <w:p w14:paraId="4C6BD197" w14:textId="77777777" w:rsidR="00C55E7D" w:rsidRDefault="00C55E7D" w:rsidP="00C55E7D">
      <w:r>
        <w:t>Airspace</w:t>
      </w:r>
    </w:p>
    <w:p w14:paraId="5F5477BA" w14:textId="77777777" w:rsidR="00C55E7D" w:rsidRDefault="00C55E7D" w:rsidP="00C55E7D">
      <w:r>
        <w:tab/>
        <w:t>Freedoms of the air</w:t>
      </w:r>
    </w:p>
    <w:p w14:paraId="46820DA9" w14:textId="77777777" w:rsidR="00C55E7D" w:rsidRDefault="00C55E7D" w:rsidP="00C55E7D">
      <w:r>
        <w:tab/>
        <w:t>FIR lanes</w:t>
      </w:r>
    </w:p>
    <w:p w14:paraId="0652E63D" w14:textId="77777777" w:rsidR="00C55E7D" w:rsidRDefault="00C55E7D" w:rsidP="00C55E7D">
      <w:r>
        <w:tab/>
        <w:t>Open Skies</w:t>
      </w:r>
    </w:p>
    <w:p w14:paraId="35575D78" w14:textId="77777777" w:rsidR="00C55E7D" w:rsidRDefault="00C55E7D" w:rsidP="00C55E7D"/>
    <w:p w14:paraId="73A99DFB" w14:textId="77777777" w:rsidR="00C55E7D" w:rsidRDefault="00C55E7D" w:rsidP="00C55E7D">
      <w:r>
        <w:t>TURKEY’S TERRITORIES AND BORDERS:</w:t>
      </w:r>
    </w:p>
    <w:p w14:paraId="4D1E9AC6" w14:textId="77777777" w:rsidR="00C55E7D" w:rsidRDefault="00C55E7D" w:rsidP="00C55E7D">
      <w:r>
        <w:t>Turkey’s land borders</w:t>
      </w:r>
    </w:p>
    <w:p w14:paraId="2A2469AF" w14:textId="77777777" w:rsidR="00C55E7D" w:rsidRDefault="00C55E7D" w:rsidP="00C55E7D">
      <w:r>
        <w:t>Turkey’s maritime borders</w:t>
      </w:r>
    </w:p>
    <w:p w14:paraId="51F72A8D" w14:textId="77777777" w:rsidR="00C55E7D" w:rsidRDefault="00C55E7D" w:rsidP="00C55E7D">
      <w:r>
        <w:t>Turkey’s airspace</w:t>
      </w:r>
    </w:p>
    <w:p w14:paraId="1228441C" w14:textId="77777777" w:rsidR="00C55E7D" w:rsidRDefault="00C55E7D" w:rsidP="00C55E7D"/>
    <w:p w14:paraId="2DC99454" w14:textId="77777777" w:rsidR="00C55E7D" w:rsidRDefault="00C55E7D" w:rsidP="00C55E7D">
      <w:r>
        <w:t>NON-STATE AREAS:</w:t>
      </w:r>
    </w:p>
    <w:p w14:paraId="294C3029" w14:textId="77777777" w:rsidR="00C55E7D" w:rsidRDefault="00C55E7D" w:rsidP="00C55E7D">
      <w:r>
        <w:t>Unclaimed territories</w:t>
      </w:r>
    </w:p>
    <w:p w14:paraId="6AE05FF8" w14:textId="77777777" w:rsidR="00C55E7D" w:rsidRDefault="00C55E7D" w:rsidP="00C55E7D">
      <w:r>
        <w:t xml:space="preserve">Antarctica </w:t>
      </w:r>
    </w:p>
    <w:p w14:paraId="3CCEAD72" w14:textId="77777777" w:rsidR="00C55E7D" w:rsidRDefault="00C55E7D" w:rsidP="00C55E7D">
      <w:r>
        <w:t>Arctic</w:t>
      </w:r>
    </w:p>
    <w:p w14:paraId="5FE0CE19" w14:textId="77777777" w:rsidR="00C55E7D" w:rsidRDefault="00C55E7D" w:rsidP="00C55E7D"/>
    <w:p w14:paraId="4E4F6D32" w14:textId="77777777" w:rsidR="00C55E7D" w:rsidRDefault="00C55E7D" w:rsidP="00C55E7D">
      <w:r>
        <w:t>SPACE:</w:t>
      </w:r>
    </w:p>
    <w:p w14:paraId="581D0861" w14:textId="77777777" w:rsidR="00C55E7D" w:rsidRDefault="00C55E7D" w:rsidP="00C55E7D">
      <w:r>
        <w:t>Celestial bodies</w:t>
      </w:r>
    </w:p>
    <w:p w14:paraId="6CD75CAF" w14:textId="77777777" w:rsidR="00C55E7D" w:rsidRDefault="00C55E7D" w:rsidP="00C55E7D">
      <w:r>
        <w:tab/>
        <w:t>Moon</w:t>
      </w:r>
    </w:p>
    <w:p w14:paraId="1D0B918C" w14:textId="77777777" w:rsidR="00C55E7D" w:rsidRDefault="00C55E7D" w:rsidP="00C55E7D">
      <w:r>
        <w:t>Global radio spectrum and satellite orbits</w:t>
      </w:r>
    </w:p>
    <w:p w14:paraId="5FDB77F5" w14:textId="77777777" w:rsidR="00C55E7D" w:rsidRDefault="00C55E7D" w:rsidP="00C55E7D">
      <w:r>
        <w:tab/>
        <w:t>Geostationary satellites</w:t>
      </w:r>
    </w:p>
    <w:p w14:paraId="78F409FA" w14:textId="77777777" w:rsidR="000A0B08" w:rsidRDefault="000A0B08" w:rsidP="00C55E7D"/>
    <w:p w14:paraId="452FAAB7" w14:textId="0BB003A0" w:rsidR="000A0B08" w:rsidRDefault="00EA5463" w:rsidP="00C55E7D">
      <w:r>
        <w:t xml:space="preserve">MAJOR CURRENT ISSUES AND </w:t>
      </w:r>
      <w:r w:rsidR="000A0B08">
        <w:t xml:space="preserve"> DISPUTES</w:t>
      </w:r>
    </w:p>
    <w:p w14:paraId="4776336B" w14:textId="1C9F67C4" w:rsidR="00EA5463" w:rsidRDefault="00EA5463" w:rsidP="00C55E7D">
      <w:r>
        <w:t>Bilateral and multilateral territorial disputes</w:t>
      </w:r>
    </w:p>
    <w:p w14:paraId="7A87D0D0" w14:textId="2E4F080B" w:rsidR="00EA5463" w:rsidRDefault="00EA5463" w:rsidP="00C55E7D">
      <w:r>
        <w:t>World trade routes</w:t>
      </w:r>
    </w:p>
    <w:p w14:paraId="1D661AD0" w14:textId="711F71B4" w:rsidR="00BD2AC2" w:rsidRDefault="00BD2AC2" w:rsidP="00C55E7D">
      <w:r>
        <w:t>Changing ecopolitics</w:t>
      </w:r>
    </w:p>
    <w:p w14:paraId="4762A489" w14:textId="28F45388" w:rsidR="00EA5463" w:rsidRDefault="00EA5463" w:rsidP="00C55E7D">
      <w:r>
        <w:t>Changing geopolitics</w:t>
      </w:r>
    </w:p>
    <w:p w14:paraId="39923322" w14:textId="77777777" w:rsidR="000A0B08" w:rsidRDefault="000A0B08" w:rsidP="00C55E7D"/>
    <w:p w14:paraId="38C082B5" w14:textId="13EA6977" w:rsidR="000A0B08" w:rsidRDefault="000A0B08" w:rsidP="00C55E7D">
      <w:r>
        <w:t>CONCLUSION:</w:t>
      </w:r>
    </w:p>
    <w:p w14:paraId="4054794B" w14:textId="77777777" w:rsidR="00EA5463" w:rsidRDefault="000A0B08" w:rsidP="00EA5463">
      <w:r>
        <w:t xml:space="preserve"> </w:t>
      </w:r>
      <w:r w:rsidR="00EA5463">
        <w:t>World economy – geography - politics</w:t>
      </w:r>
    </w:p>
    <w:p w14:paraId="4C632E0C" w14:textId="2C775491" w:rsidR="000A0B08" w:rsidRDefault="000A0B08" w:rsidP="00C55E7D">
      <w:r>
        <w:t>Can a more peaceful world be achieved?</w:t>
      </w:r>
    </w:p>
    <w:p w14:paraId="108AC768" w14:textId="77777777" w:rsidR="00A3224D" w:rsidRDefault="00A3224D" w:rsidP="00A3224D"/>
    <w:p w14:paraId="01DFFDD1" w14:textId="77777777" w:rsidR="00A3224D" w:rsidRDefault="00A3224D" w:rsidP="00A3224D"/>
    <w:p w14:paraId="0918F0E1" w14:textId="77777777" w:rsidR="00A3224D" w:rsidRDefault="00A3224D" w:rsidP="00A3224D"/>
    <w:p w14:paraId="36623A3F" w14:textId="77777777" w:rsidR="00A3224D" w:rsidRDefault="00A3224D"/>
    <w:p w14:paraId="0D0B3882" w14:textId="77777777" w:rsidR="00A3224D" w:rsidRDefault="00A3224D"/>
    <w:sectPr w:rsidR="00A3224D" w:rsidSect="006064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F00C7"/>
    <w:multiLevelType w:val="hybridMultilevel"/>
    <w:tmpl w:val="047C6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02613"/>
    <w:multiLevelType w:val="hybridMultilevel"/>
    <w:tmpl w:val="67E070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D7"/>
    <w:rsid w:val="000A0B08"/>
    <w:rsid w:val="001A5B77"/>
    <w:rsid w:val="0027473A"/>
    <w:rsid w:val="002E2A4A"/>
    <w:rsid w:val="00576A8A"/>
    <w:rsid w:val="0060640A"/>
    <w:rsid w:val="00633B20"/>
    <w:rsid w:val="006408D0"/>
    <w:rsid w:val="00682757"/>
    <w:rsid w:val="00882A67"/>
    <w:rsid w:val="008A3187"/>
    <w:rsid w:val="008E0A1E"/>
    <w:rsid w:val="00A12BD7"/>
    <w:rsid w:val="00A26197"/>
    <w:rsid w:val="00A3224D"/>
    <w:rsid w:val="00A500EA"/>
    <w:rsid w:val="00BD2AC2"/>
    <w:rsid w:val="00C55E7D"/>
    <w:rsid w:val="00D773F2"/>
    <w:rsid w:val="00E21A62"/>
    <w:rsid w:val="00E86363"/>
    <w:rsid w:val="00EA5463"/>
    <w:rsid w:val="00EB0716"/>
    <w:rsid w:val="00FA195F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C50148E"/>
  <w14:defaultImageDpi w14:val="300"/>
  <w15:docId w15:val="{1B4AF037-3144-DA46-9F4C-4C143621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55E7D"/>
    <w:pPr>
      <w:keepNext/>
      <w:outlineLvl w:val="0"/>
    </w:pPr>
    <w:rPr>
      <w:rFonts w:ascii="Times New Roman" w:eastAsia="Times New Roman" w:hAnsi="Times New Roman" w:cs="Times New Roman"/>
      <w:sz w:val="28"/>
      <w:lang w:val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B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5E7D"/>
    <w:rPr>
      <w:rFonts w:ascii="Times New Roman" w:eastAsia="Times New Roman" w:hAnsi="Times New Roman" w:cs="Times New Roman"/>
      <w:sz w:val="28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B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2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6309415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779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69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 Kut</dc:creator>
  <cp:keywords/>
  <dc:description/>
  <cp:lastModifiedBy>Microsoft Office User</cp:lastModifiedBy>
  <cp:revision>7</cp:revision>
  <cp:lastPrinted>2017-12-27T08:43:00Z</cp:lastPrinted>
  <dcterms:created xsi:type="dcterms:W3CDTF">2022-02-14T14:47:00Z</dcterms:created>
  <dcterms:modified xsi:type="dcterms:W3CDTF">2022-02-15T15:52:00Z</dcterms:modified>
</cp:coreProperties>
</file>