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4A0" w:firstRow="1" w:lastRow="0" w:firstColumn="1" w:lastColumn="0" w:noHBand="0" w:noVBand="1"/>
      </w:tblPr>
      <w:tblGrid>
        <w:gridCol w:w="9751"/>
      </w:tblGrid>
      <w:tr w:rsidR="00BD53F2">
        <w:trPr>
          <w:jc w:val="center"/>
        </w:trPr>
        <w:tc>
          <w:tcPr>
            <w:tcW w:w="9751" w:type="dxa"/>
            <w:tcBorders>
              <w:top w:val="single" w:sz="8" w:space="0" w:color="1F3A5F"/>
              <w:left w:val="single" w:sz="8" w:space="0" w:color="1F3A5F"/>
              <w:bottom w:val="single" w:sz="8" w:space="0" w:color="1F3A5F"/>
              <w:right w:val="single" w:sz="8" w:space="0" w:color="1F3A5F"/>
            </w:tcBorders>
            <w:shd w:val="clear" w:color="auto" w:fill="1F3A5F"/>
            <w:vAlign w:val="center"/>
          </w:tcPr>
          <w:p w:rsidR="00BD53F2" w:rsidRDefault="00BD53F2">
            <w:bookmarkStart w:id="0" w:name="_GoBack"/>
            <w:bookmarkEnd w:id="0"/>
          </w:p>
          <w:p w:rsidR="00BD53F2" w:rsidRDefault="00D24704">
            <w:pPr>
              <w:spacing w:after="0"/>
              <w:jc w:val="center"/>
            </w:pPr>
            <w:r>
              <w:rPr>
                <w:color w:val="FFFFFF"/>
                <w:sz w:val="18"/>
              </w:rPr>
              <w:t>VERİ BİLİMİ VE YAPAY ZEKA ENSTİTÜSÜ</w:t>
            </w:r>
          </w:p>
          <w:p w:rsidR="00BD53F2" w:rsidRDefault="00D24704">
            <w:pPr>
              <w:spacing w:after="0"/>
              <w:jc w:val="center"/>
            </w:pPr>
            <w:r>
              <w:rPr>
                <w:b/>
                <w:color w:val="FFFFFF"/>
                <w:sz w:val="30"/>
              </w:rPr>
              <w:t>THESIS YÜKSEK LİSANS TEZ SÜRECİ</w:t>
            </w:r>
          </w:p>
          <w:p w:rsidR="00BD53F2" w:rsidRDefault="00D24704">
            <w:pPr>
              <w:spacing w:after="0"/>
              <w:jc w:val="center"/>
            </w:pPr>
            <w:r>
              <w:rPr>
                <w:color w:val="FFFFFF"/>
                <w:sz w:val="18"/>
              </w:rPr>
              <w:t>İdari Süreç Özeti</w:t>
            </w:r>
          </w:p>
        </w:tc>
      </w:tr>
    </w:tbl>
    <w:p w:rsidR="00BD53F2" w:rsidRDefault="00BD53F2">
      <w:pPr>
        <w:spacing w:after="40"/>
      </w:pPr>
    </w:p>
    <w:p w:rsidR="00BD53F2" w:rsidRDefault="00D24704">
      <w:pPr>
        <w:spacing w:before="160" w:after="80"/>
      </w:pPr>
      <w:r>
        <w:rPr>
          <w:b/>
          <w:color w:val="1F3A5F"/>
          <w:sz w:val="21"/>
        </w:rPr>
        <w:t>A. Akademik Eşikler ve Başlangıç Aşamaları</w:t>
      </w:r>
    </w:p>
    <w:tbl>
      <w:tblPr>
        <w:tblW w:w="0" w:type="auto"/>
        <w:jc w:val="center"/>
        <w:tblLayout w:type="fixed"/>
        <w:tblLook w:val="04A0" w:firstRow="1" w:lastRow="0" w:firstColumn="1" w:lastColumn="0" w:noHBand="0" w:noVBand="1"/>
      </w:tblPr>
      <w:tblGrid>
        <w:gridCol w:w="567"/>
        <w:gridCol w:w="9184"/>
      </w:tblGrid>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1. dönemin sonuna kadar tez danışmanı atanmalıdır.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2</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 xml:space="preserve">2. dönemin sonuna kadar “Tez Konusu Öneri Formu” düzenlenerek </w:t>
            </w:r>
            <w:r>
              <w:rPr>
                <w:color w:val="222222"/>
                <w:sz w:val="18"/>
              </w:rPr>
              <w:t>Enstitüye iletilmelidir.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3</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3. dönemden itibaren tez dersine kayıt yaptırılmalıdır.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4</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4. dönemin sonuna kadar dersler en az 3.00 GNO ile tamamlanmalıdır. Aksi durumda ilişik kesilir.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5</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 xml:space="preserve">Tez konusunun Etik Kurulu Kararı gerektirmesi durumunda, Etik Kurulu </w:t>
            </w:r>
            <w:r>
              <w:rPr>
                <w:color w:val="222222"/>
                <w:sz w:val="18"/>
              </w:rPr>
              <w:t>ile iletişime geçilmelidir.</w:t>
            </w:r>
          </w:p>
        </w:tc>
      </w:tr>
    </w:tbl>
    <w:p w:rsidR="00BD53F2" w:rsidRDefault="00D24704">
      <w:pPr>
        <w:spacing w:before="160" w:after="80"/>
      </w:pPr>
      <w:r>
        <w:rPr>
          <w:b/>
          <w:color w:val="1F3A5F"/>
          <w:sz w:val="21"/>
        </w:rPr>
        <w:t>B. Tez Yazımı, Jüri ve Savunma Hazırlığı</w:t>
      </w:r>
    </w:p>
    <w:tbl>
      <w:tblPr>
        <w:tblW w:w="0" w:type="auto"/>
        <w:jc w:val="center"/>
        <w:tblLayout w:type="fixed"/>
        <w:tblLook w:val="04A0" w:firstRow="1" w:lastRow="0" w:firstColumn="1" w:lastColumn="0" w:noHBand="0" w:noVBand="1"/>
      </w:tblPr>
      <w:tblGrid>
        <w:gridCol w:w="567"/>
        <w:gridCol w:w="9184"/>
      </w:tblGrid>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6</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Tez yazma süreci boyunca her dönem tez danışmanı tarafından öğrencinin tez çalışmaları değerlendirilerek F veya TP notu verilir.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7</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Öğrenci tezini tamamlayarak danışmanına sunar. Danış</w:t>
            </w:r>
            <w:r>
              <w:rPr>
                <w:color w:val="222222"/>
                <w:sz w:val="18"/>
              </w:rPr>
              <w:t>man, tezin savunulabilir olduğuna ilişkin görüşü ile birlikte tezi Enstitüye teslim eder.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8</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 xml:space="preserve">Tezin savunma tarihinden en az 1 ay önce tez jürisi oluşturulur. Jüri; biri öğrencinin tez danışmanı, en az biri başka bir yükseköğretim kurumundan olmak üzere üç </w:t>
            </w:r>
            <w:r>
              <w:rPr>
                <w:color w:val="222222"/>
                <w:sz w:val="18"/>
              </w:rPr>
              <w:t>veya beş öğretim üyesinden oluşur. Jürinin üç kişiden oluşması durumunda ikinci tez danışmanı jüri üyesi olamaz. İki danışman olması durumunda jüri, ikisi öğrencinin danışmanları olmak üzere beş kişiden oluşur ve üyelerden en az biri başka bir yükseköğreti</w:t>
            </w:r>
            <w:r>
              <w:rPr>
                <w:color w:val="222222"/>
                <w:sz w:val="18"/>
              </w:rPr>
              <w:t>m kurumundan tam zamanlı öğretim üyesi olmalıdır.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9</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Tez savunması öncesinde tez başlığı kontrolü ve tez formatı kontrolleri yapılmalıdır.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10</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Tez, savunma tarihinden en geç 15 gün önce jüri üyelerine gönderilmelidir.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11</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Tez savunmasının tarihi, en geç 15</w:t>
            </w:r>
            <w:r>
              <w:rPr>
                <w:color w:val="222222"/>
                <w:sz w:val="18"/>
              </w:rPr>
              <w:t xml:space="preserve"> gün öncesinde ilgili Enstitü tarafından web sayfasında ilan edilir.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12</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Jüri üyeleri, tezin kendilerine teslim edildiği tarihten itibaren en geç 1 ay içinde toplanarak öğrenciyi tez savunmasına alır.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13</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Tez savunması, tez çalışmasının sunulması ve bunu i</w:t>
            </w:r>
            <w:r>
              <w:rPr>
                <w:color w:val="222222"/>
                <w:sz w:val="18"/>
              </w:rPr>
              <w:t>zleyen soru-cevap bölümünden oluşur.</w:t>
            </w:r>
          </w:p>
        </w:tc>
      </w:tr>
    </w:tbl>
    <w:p w:rsidR="00BD53F2" w:rsidRDefault="00D24704">
      <w:pPr>
        <w:spacing w:before="160" w:after="80"/>
      </w:pPr>
      <w:r>
        <w:rPr>
          <w:b/>
          <w:color w:val="1F3A5F"/>
          <w:sz w:val="21"/>
        </w:rPr>
        <w:t>C. Savunma Sonrası Süreç ve Mezuniyet</w:t>
      </w:r>
    </w:p>
    <w:tbl>
      <w:tblPr>
        <w:tblW w:w="0" w:type="auto"/>
        <w:jc w:val="center"/>
        <w:tblLayout w:type="fixed"/>
        <w:tblLook w:val="04A0" w:firstRow="1" w:lastRow="0" w:firstColumn="1" w:lastColumn="0" w:noHBand="0" w:noVBand="1"/>
      </w:tblPr>
      <w:tblGrid>
        <w:gridCol w:w="567"/>
        <w:gridCol w:w="9184"/>
      </w:tblGrid>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14</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Tez savunma jürisinin tez savunmasını başarısız bulması halinde ilişik kesilir.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15</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 xml:space="preserve">Tez savunma jürisi, düzeltme için 3 aya kadar ek süre verebilir. Süre sonunda yeniden tez </w:t>
            </w:r>
            <w:r>
              <w:rPr>
                <w:color w:val="222222"/>
                <w:sz w:val="18"/>
              </w:rPr>
              <w:t>savunması yapılır. Tez savunmasının yeniden başarısız bulunması halinde ilişik kesilir.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16</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Başarılı olarak savunulan tezin basılı hali, tez savunma tarihinden itibaren 1 ay içinde Enstitüye teslim edilmelidir. Dilekçe ile 1 ay ek süre talep edilebilir. Be</w:t>
            </w:r>
            <w:r>
              <w:rPr>
                <w:color w:val="222222"/>
                <w:sz w:val="18"/>
              </w:rPr>
              <w:t>lirtilen süre içinde tezin teslim edilmemesi durumunda yeniden savunma yapılması zorunludur.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17</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Yüksek lisans için azami süre, kayıt yaptırıp yaptırmadığına bakılmaksızın 6 dönemdir. Tezin azami süre içinde Enstitüye teslim edilmemesi halinde ilişik kesil</w:t>
            </w:r>
            <w:r>
              <w:rPr>
                <w:color w:val="222222"/>
                <w:sz w:val="18"/>
              </w:rPr>
              <w:t>ir.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18</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Tez savunmasında başarılı olan; Boğaziçi Üniversitesi Lisansüstü Yönetmeliğinde belirtilen mezuniyet şartlarına ilave olarak Veri Bilimi ve Yapay Zekâ Enstitüsünün mezuniyet şartlarını sağlayan, tezi şekil yönünden uygun bulunan ve tüm materyalleri</w:t>
            </w:r>
            <w:r>
              <w:rPr>
                <w:color w:val="222222"/>
                <w:sz w:val="18"/>
              </w:rPr>
              <w:t xml:space="preserve"> eksiksiz teslim eden öğrenci, Yönetim Kurulu kararı ile tezli yüksek lisans diploması almaya hak kazanır.</w:t>
            </w:r>
          </w:p>
        </w:tc>
      </w:tr>
    </w:tbl>
    <w:p w:rsidR="00BD53F2" w:rsidRDefault="00BD53F2">
      <w:pPr>
        <w:spacing w:after="40"/>
      </w:pPr>
    </w:p>
    <w:tbl>
      <w:tblPr>
        <w:tblW w:w="0" w:type="auto"/>
        <w:jc w:val="center"/>
        <w:tblLayout w:type="fixed"/>
        <w:tblLook w:val="04A0" w:firstRow="1" w:lastRow="0" w:firstColumn="1" w:lastColumn="0" w:noHBand="0" w:noVBand="1"/>
      </w:tblPr>
      <w:tblGrid>
        <w:gridCol w:w="9751"/>
      </w:tblGrid>
      <w:tr w:rsidR="00BD53F2">
        <w:trPr>
          <w:jc w:val="center"/>
        </w:trPr>
        <w:tc>
          <w:tcPr>
            <w:tcW w:w="9751" w:type="dxa"/>
            <w:tcBorders>
              <w:top w:val="single" w:sz="6" w:space="0" w:color="C9A227"/>
              <w:left w:val="single" w:sz="6" w:space="0" w:color="C9A227"/>
              <w:bottom w:val="single" w:sz="6" w:space="0" w:color="C9A227"/>
              <w:right w:val="single" w:sz="6" w:space="0" w:color="C9A227"/>
            </w:tcBorders>
            <w:shd w:val="clear" w:color="auto" w:fill="FFF7E0"/>
          </w:tcPr>
          <w:p w:rsidR="00BD53F2" w:rsidRDefault="00D24704">
            <w:pPr>
              <w:spacing w:after="40"/>
            </w:pPr>
            <w:r>
              <w:rPr>
                <w:b/>
                <w:color w:val="1F3A5F"/>
                <w:sz w:val="20"/>
              </w:rPr>
              <w:t>İncelenmesi Gereken Belgeler</w:t>
            </w:r>
          </w:p>
          <w:p w:rsidR="00BD53F2" w:rsidRDefault="00D24704">
            <w:pPr>
              <w:pStyle w:val="ListeMaddemi"/>
              <w:spacing w:after="0"/>
              <w:ind w:left="198"/>
            </w:pPr>
            <w:r>
              <w:rPr>
                <w:color w:val="222222"/>
                <w:sz w:val="18"/>
              </w:rPr>
              <w:t>“Yüksek Lisans Mezuniyet İşlemleri” dokümanını inceleyiniz.</w:t>
            </w:r>
          </w:p>
          <w:p w:rsidR="00BD53F2" w:rsidRDefault="00D24704">
            <w:pPr>
              <w:pStyle w:val="ListeMaddemi"/>
              <w:spacing w:after="0"/>
              <w:ind w:left="198"/>
            </w:pPr>
            <w:r>
              <w:rPr>
                <w:color w:val="222222"/>
                <w:sz w:val="18"/>
              </w:rPr>
              <w:t xml:space="preserve">“Yüksek Lisans Mezuniyet Asgari Yayın Koşulları” için </w:t>
            </w:r>
            <w:r>
              <w:rPr>
                <w:color w:val="222222"/>
                <w:sz w:val="18"/>
              </w:rPr>
              <w:t>ilgili dokümanı inceleyiniz.</w:t>
            </w:r>
          </w:p>
        </w:tc>
      </w:tr>
    </w:tbl>
    <w:p w:rsidR="00BD53F2" w:rsidRDefault="00D24704">
      <w:r>
        <w:br/>
      </w:r>
      <w:r>
        <w:br w:type="page"/>
      </w:r>
    </w:p>
    <w:tbl>
      <w:tblPr>
        <w:tblW w:w="0" w:type="auto"/>
        <w:jc w:val="center"/>
        <w:tblLayout w:type="fixed"/>
        <w:tblLook w:val="04A0" w:firstRow="1" w:lastRow="0" w:firstColumn="1" w:lastColumn="0" w:noHBand="0" w:noVBand="1"/>
      </w:tblPr>
      <w:tblGrid>
        <w:gridCol w:w="9751"/>
      </w:tblGrid>
      <w:tr w:rsidR="00BD53F2">
        <w:trPr>
          <w:jc w:val="center"/>
        </w:trPr>
        <w:tc>
          <w:tcPr>
            <w:tcW w:w="9751" w:type="dxa"/>
            <w:tcBorders>
              <w:top w:val="single" w:sz="8" w:space="0" w:color="1F3A5F"/>
              <w:left w:val="single" w:sz="8" w:space="0" w:color="1F3A5F"/>
              <w:bottom w:val="single" w:sz="8" w:space="0" w:color="1F3A5F"/>
              <w:right w:val="single" w:sz="8" w:space="0" w:color="1F3A5F"/>
            </w:tcBorders>
            <w:shd w:val="clear" w:color="auto" w:fill="1F3A5F"/>
            <w:vAlign w:val="center"/>
          </w:tcPr>
          <w:p w:rsidR="00BD53F2" w:rsidRDefault="00BD53F2"/>
          <w:p w:rsidR="00BD53F2" w:rsidRDefault="00D24704">
            <w:pPr>
              <w:spacing w:after="0"/>
              <w:jc w:val="center"/>
            </w:pPr>
            <w:r>
              <w:rPr>
                <w:color w:val="FFFFFF"/>
                <w:sz w:val="18"/>
              </w:rPr>
              <w:t>INSTITUTE FOR DATA SCIENCE AND ARTIFICIAL INTELLIGENCE</w:t>
            </w:r>
          </w:p>
          <w:p w:rsidR="00BD53F2" w:rsidRDefault="00D24704">
            <w:pPr>
              <w:spacing w:after="0"/>
              <w:jc w:val="center"/>
            </w:pPr>
            <w:r>
              <w:rPr>
                <w:b/>
                <w:color w:val="FFFFFF"/>
                <w:sz w:val="30"/>
              </w:rPr>
              <w:t>THESIS MASTER'S DEGREE PROCESS</w:t>
            </w:r>
          </w:p>
          <w:p w:rsidR="00BD53F2" w:rsidRDefault="00D24704">
            <w:pPr>
              <w:spacing w:after="0"/>
              <w:jc w:val="center"/>
            </w:pPr>
            <w:r>
              <w:rPr>
                <w:color w:val="FFFFFF"/>
                <w:sz w:val="18"/>
              </w:rPr>
              <w:t>Administrative Process Summary</w:t>
            </w:r>
          </w:p>
        </w:tc>
      </w:tr>
    </w:tbl>
    <w:p w:rsidR="00BD53F2" w:rsidRDefault="00BD53F2">
      <w:pPr>
        <w:spacing w:after="40"/>
      </w:pPr>
    </w:p>
    <w:p w:rsidR="00BD53F2" w:rsidRDefault="00D24704">
      <w:pPr>
        <w:spacing w:before="160" w:after="80"/>
      </w:pPr>
      <w:r>
        <w:rPr>
          <w:b/>
          <w:color w:val="1F3A5F"/>
          <w:sz w:val="21"/>
        </w:rPr>
        <w:t>A. Academic Milestones and Initial Steps</w:t>
      </w:r>
    </w:p>
    <w:tbl>
      <w:tblPr>
        <w:tblW w:w="0" w:type="auto"/>
        <w:jc w:val="center"/>
        <w:tblLayout w:type="fixed"/>
        <w:tblLook w:val="04A0" w:firstRow="1" w:lastRow="0" w:firstColumn="1" w:lastColumn="0" w:noHBand="0" w:noVBand="1"/>
      </w:tblPr>
      <w:tblGrid>
        <w:gridCol w:w="567"/>
        <w:gridCol w:w="9184"/>
      </w:tblGrid>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 xml:space="preserve">A thesis advisor must be appointed by the end of the 1st </w:t>
            </w:r>
            <w:r>
              <w:rPr>
                <w:color w:val="222222"/>
                <w:sz w:val="18"/>
              </w:rPr>
              <w:t>semester.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2</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The Thesis Proposal Declaration Form must be submitted to the Institute by the end of the 2nd semester.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3</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Students must enroll in the thesis course starting from the 3rd semester.</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4</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The courses must be completed with at least a 3.00 GPA by t</w:t>
            </w:r>
            <w:r>
              <w:rPr>
                <w:color w:val="222222"/>
                <w:sz w:val="18"/>
              </w:rPr>
              <w:t>he end of the 4th semester. Failure to do so will result in dismissal.</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5</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If the thesis topic requires Ethics Committee approval, the Ethics Committee must be contacted.</w:t>
            </w:r>
          </w:p>
        </w:tc>
      </w:tr>
    </w:tbl>
    <w:p w:rsidR="00BD53F2" w:rsidRDefault="00D24704">
      <w:pPr>
        <w:spacing w:before="160" w:after="80"/>
      </w:pPr>
      <w:r>
        <w:rPr>
          <w:b/>
          <w:color w:val="1F3A5F"/>
          <w:sz w:val="21"/>
        </w:rPr>
        <w:t>B. Thesis Writing, Jury Formation and Defense Preparation</w:t>
      </w:r>
    </w:p>
    <w:tbl>
      <w:tblPr>
        <w:tblW w:w="0" w:type="auto"/>
        <w:jc w:val="center"/>
        <w:tblLayout w:type="fixed"/>
        <w:tblLook w:val="04A0" w:firstRow="1" w:lastRow="0" w:firstColumn="1" w:lastColumn="0" w:noHBand="0" w:noVBand="1"/>
      </w:tblPr>
      <w:tblGrid>
        <w:gridCol w:w="567"/>
        <w:gridCol w:w="9184"/>
      </w:tblGrid>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6</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 xml:space="preserve">Each semester during the </w:t>
            </w:r>
            <w:r>
              <w:rPr>
                <w:color w:val="222222"/>
                <w:sz w:val="18"/>
              </w:rPr>
              <w:t>thesis preparation process, the thesis advisor evaluates the student’s thesis work and assigns a grade of F or TP.</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7</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The student completes the thesis and submits it to the advisor. The advisor submits the thesis to the Institute with his/her opinion on wh</w:t>
            </w:r>
            <w:r>
              <w:rPr>
                <w:color w:val="222222"/>
                <w:sz w:val="18"/>
              </w:rPr>
              <w:t>ether the thesis is defensible.</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8</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At least 1 month prior to the thesis defense date, the thesis jury is formed. The committee consists of three or five faculty members, one of whom is the student’s thesis advisor and at least one of whom is from another h</w:t>
            </w:r>
            <w:r>
              <w:rPr>
                <w:color w:val="222222"/>
                <w:sz w:val="18"/>
              </w:rPr>
              <w:t>igher education institution. If the jury consists of three members, the second thesis advisor cannot be a jury member. If there are two advisors, the jury consists of five members, including both advisors, and at least one member must be a full-time facult</w:t>
            </w:r>
            <w:r>
              <w:rPr>
                <w:color w:val="222222"/>
                <w:sz w:val="18"/>
              </w:rPr>
              <w:t>y member from another higher education institution.</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9</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Prior to the thesis defense, the thesis title and format should be checked.</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10</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The thesis must be submitted to the jury members at least 15 days before the defense date.</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11</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 xml:space="preserve">The thesis defense date </w:t>
            </w:r>
            <w:r>
              <w:rPr>
                <w:color w:val="222222"/>
                <w:sz w:val="18"/>
              </w:rPr>
              <w:t>must be announced on the Institute’s website at least 15 days before the scheduled defense.</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12</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The jury members convene to conduct the thesis defense no later than 1 month after the date the thesis is delivered to them.</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13</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 xml:space="preserve">The thesis defense consists of </w:t>
            </w:r>
            <w:r>
              <w:rPr>
                <w:color w:val="222222"/>
                <w:sz w:val="18"/>
              </w:rPr>
              <w:t>a presentation of the thesis work followed by a question-and-answer session.</w:t>
            </w:r>
          </w:p>
        </w:tc>
      </w:tr>
    </w:tbl>
    <w:p w:rsidR="00BD53F2" w:rsidRDefault="00D24704">
      <w:pPr>
        <w:spacing w:before="160" w:after="80"/>
      </w:pPr>
      <w:r>
        <w:rPr>
          <w:b/>
          <w:color w:val="1F3A5F"/>
          <w:sz w:val="21"/>
        </w:rPr>
        <w:t>C. Post-Defense Process and Graduation</w:t>
      </w:r>
    </w:p>
    <w:tbl>
      <w:tblPr>
        <w:tblW w:w="0" w:type="auto"/>
        <w:jc w:val="center"/>
        <w:tblLayout w:type="fixed"/>
        <w:tblLook w:val="04A0" w:firstRow="1" w:lastRow="0" w:firstColumn="1" w:lastColumn="0" w:noHBand="0" w:noVBand="1"/>
      </w:tblPr>
      <w:tblGrid>
        <w:gridCol w:w="567"/>
        <w:gridCol w:w="9184"/>
      </w:tblGrid>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14</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If the thesis defense jury deems the thesis defense unsuccessful, the student is dismissed from the program.</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15</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The thesis defense jury</w:t>
            </w:r>
            <w:r>
              <w:rPr>
                <w:color w:val="222222"/>
                <w:sz w:val="18"/>
              </w:rPr>
              <w:t xml:space="preserve"> may grant an extension of up to 3 months for revisions. At the end of this period, the thesis defense is repeated. If the jury again finds the defense unsuccessful, the student is dismissed from the program.</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16</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The printed version of the successfully def</w:t>
            </w:r>
            <w:r>
              <w:rPr>
                <w:color w:val="222222"/>
                <w:sz w:val="18"/>
              </w:rPr>
              <w:t>ended thesis must be submitted to the Institute within 1 month from the thesis defense date. An additional 1-month extension may be requested by petition. Failure to submit the thesis within the specified period will require a new defense.</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17</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 xml:space="preserve">The maximum </w:t>
            </w:r>
            <w:r>
              <w:rPr>
                <w:color w:val="222222"/>
                <w:sz w:val="18"/>
              </w:rPr>
              <w:t>duration for completing a master’s degree, regardless of whether the student has registered for each term, is 6 semesters. If the thesis is not submitted to the Institute within the maximum period, the student is dismissed from the program.</w:t>
            </w:r>
          </w:p>
        </w:tc>
      </w:tr>
      <w:tr w:rsidR="00BD53F2">
        <w:trPr>
          <w:jc w:val="center"/>
        </w:trPr>
        <w:tc>
          <w:tcPr>
            <w:tcW w:w="567"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BD53F2" w:rsidRDefault="00D24704">
            <w:pPr>
              <w:spacing w:after="0"/>
              <w:jc w:val="center"/>
            </w:pPr>
            <w:r>
              <w:rPr>
                <w:b/>
                <w:color w:val="FFFFFF"/>
                <w:sz w:val="21"/>
              </w:rPr>
              <w:t>18</w:t>
            </w:r>
          </w:p>
        </w:tc>
        <w:tc>
          <w:tcPr>
            <w:tcW w:w="918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BD53F2" w:rsidRDefault="00D24704">
            <w:pPr>
              <w:spacing w:after="0"/>
            </w:pPr>
            <w:r>
              <w:rPr>
                <w:color w:val="222222"/>
                <w:sz w:val="18"/>
              </w:rPr>
              <w:t xml:space="preserve">A student </w:t>
            </w:r>
            <w:r>
              <w:rPr>
                <w:color w:val="222222"/>
                <w:sz w:val="18"/>
              </w:rPr>
              <w:t>who successfully passes the thesis defense, fulfills the graduation requirements specified in the Boğaziçi University Graduate Regulations in addition to those of the Institute for Data Science and Artificial Intelligence, whose thesis is approved in terms</w:t>
            </w:r>
            <w:r>
              <w:rPr>
                <w:color w:val="222222"/>
                <w:sz w:val="18"/>
              </w:rPr>
              <w:t xml:space="preserve"> of format, and who submits all required materials in full, becomes eligible to receive the thesis-based Master’s degree upon the decision of the Executive Board.</w:t>
            </w:r>
          </w:p>
        </w:tc>
      </w:tr>
    </w:tbl>
    <w:p w:rsidR="00BD53F2" w:rsidRDefault="00BD53F2">
      <w:pPr>
        <w:spacing w:after="40"/>
      </w:pPr>
    </w:p>
    <w:tbl>
      <w:tblPr>
        <w:tblW w:w="0" w:type="auto"/>
        <w:jc w:val="center"/>
        <w:tblLayout w:type="fixed"/>
        <w:tblLook w:val="04A0" w:firstRow="1" w:lastRow="0" w:firstColumn="1" w:lastColumn="0" w:noHBand="0" w:noVBand="1"/>
      </w:tblPr>
      <w:tblGrid>
        <w:gridCol w:w="9751"/>
      </w:tblGrid>
      <w:tr w:rsidR="00BD53F2">
        <w:trPr>
          <w:jc w:val="center"/>
        </w:trPr>
        <w:tc>
          <w:tcPr>
            <w:tcW w:w="9751" w:type="dxa"/>
            <w:tcBorders>
              <w:top w:val="single" w:sz="6" w:space="0" w:color="C9A227"/>
              <w:left w:val="single" w:sz="6" w:space="0" w:color="C9A227"/>
              <w:bottom w:val="single" w:sz="6" w:space="0" w:color="C9A227"/>
              <w:right w:val="single" w:sz="6" w:space="0" w:color="C9A227"/>
            </w:tcBorders>
            <w:shd w:val="clear" w:color="auto" w:fill="FFF7E0"/>
          </w:tcPr>
          <w:p w:rsidR="00BD53F2" w:rsidRDefault="00D24704">
            <w:pPr>
              <w:spacing w:after="40"/>
            </w:pPr>
            <w:r>
              <w:rPr>
                <w:b/>
                <w:color w:val="1F3A5F"/>
                <w:sz w:val="20"/>
              </w:rPr>
              <w:t>Documents to Review</w:t>
            </w:r>
          </w:p>
          <w:p w:rsidR="00BD53F2" w:rsidRDefault="00D24704">
            <w:pPr>
              <w:pStyle w:val="ListeMaddemi"/>
              <w:spacing w:after="0"/>
              <w:ind w:left="198"/>
            </w:pPr>
            <w:r>
              <w:rPr>
                <w:color w:val="222222"/>
                <w:sz w:val="18"/>
              </w:rPr>
              <w:t>Please review the “Master’s Graduation Procedures” document.</w:t>
            </w:r>
          </w:p>
          <w:p w:rsidR="00BD53F2" w:rsidRDefault="00D24704">
            <w:pPr>
              <w:pStyle w:val="ListeMaddemi"/>
              <w:spacing w:after="0"/>
              <w:ind w:left="198"/>
            </w:pPr>
            <w:r>
              <w:rPr>
                <w:color w:val="222222"/>
                <w:sz w:val="18"/>
              </w:rPr>
              <w:t>Please rev</w:t>
            </w:r>
            <w:r>
              <w:rPr>
                <w:color w:val="222222"/>
                <w:sz w:val="18"/>
              </w:rPr>
              <w:t>iew the relevant document on the “Minimum Publication Requirements for Master’s Graduation.”</w:t>
            </w:r>
          </w:p>
        </w:tc>
      </w:tr>
    </w:tbl>
    <w:p w:rsidR="00D24704" w:rsidRDefault="00D24704"/>
    <w:sectPr w:rsidR="00D24704" w:rsidSect="00034616">
      <w:footerReference w:type="default" r:id="rId8"/>
      <w:pgSz w:w="11906" w:h="16838"/>
      <w:pgMar w:top="794" w:right="794" w:bottom="794" w:left="794"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4704" w:rsidRDefault="00D24704">
      <w:pPr>
        <w:spacing w:after="0" w:line="240" w:lineRule="auto"/>
      </w:pPr>
      <w:r>
        <w:separator/>
      </w:r>
    </w:p>
  </w:endnote>
  <w:endnote w:type="continuationSeparator" w:id="0">
    <w:p w:rsidR="00D24704" w:rsidRDefault="00D24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3F2" w:rsidRDefault="00D24704">
    <w:pPr>
      <w:pStyle w:val="AltBilgi"/>
      <w:jc w:val="center"/>
    </w:pPr>
    <w:r>
      <w:rPr>
        <w:color w:val="5F6B7A"/>
        <w:sz w:val="17"/>
      </w:rPr>
      <w:t>Boğaziçi University • Institute for Data Science and Artificial Intelligence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4704" w:rsidRDefault="00D24704">
      <w:pPr>
        <w:spacing w:after="0" w:line="240" w:lineRule="auto"/>
      </w:pPr>
      <w:r>
        <w:separator/>
      </w:r>
    </w:p>
  </w:footnote>
  <w:footnote w:type="continuationSeparator" w:id="0">
    <w:p w:rsidR="00D24704" w:rsidRDefault="00D247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771B8"/>
    <w:rsid w:val="00AA1D8D"/>
    <w:rsid w:val="00B47730"/>
    <w:rsid w:val="00BD53F2"/>
    <w:rsid w:val="00CB0664"/>
    <w:rsid w:val="00D247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6EBBB12-FF4C-4D7E-9643-FB3573504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eastAsia="Aptos" w:hAnsi="Aptos"/>
      <w:sz w:val="19"/>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D859A-8B0D-4DBC-BC44-A93438BCD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1004</Words>
  <Characters>5728</Characters>
  <Application>Microsoft Office Word</Application>
  <DocSecurity>0</DocSecurity>
  <Lines>47</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Betül Çubuk</cp:lastModifiedBy>
  <cp:revision>2</cp:revision>
  <dcterms:created xsi:type="dcterms:W3CDTF">2026-09-20T20:53:00Z</dcterms:created>
  <dcterms:modified xsi:type="dcterms:W3CDTF">2026-09-20T20:53:00Z</dcterms:modified>
  <cp:category/>
</cp:coreProperties>
</file>