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19" w:rsidRDefault="00690719" w:rsidP="00690719">
      <w:r>
        <w:rPr>
          <w:rFonts w:eastAsia="Times New Roman"/>
          <w:b/>
          <w:bCs/>
          <w:color w:val="000000"/>
        </w:rPr>
        <w:t xml:space="preserve">                                                    </w:t>
      </w:r>
      <w:r w:rsidRPr="00804E2D">
        <w:rPr>
          <w:rFonts w:eastAsia="Times New Roman"/>
          <w:b/>
          <w:bCs/>
          <w:color w:val="000000"/>
        </w:rPr>
        <w:t>BOĞAZİÇİ ÜNİV</w:t>
      </w:r>
      <w:r>
        <w:rPr>
          <w:rFonts w:eastAsia="Times New Roman"/>
          <w:b/>
          <w:bCs/>
          <w:color w:val="000000"/>
        </w:rPr>
        <w:t>ERSİTESİ REKTÖRLÜĞÜ</w:t>
      </w:r>
      <w:r>
        <w:rPr>
          <w:rFonts w:eastAsia="Times New Roman"/>
          <w:b/>
          <w:bCs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                                                                           </w:t>
      </w:r>
      <w:r>
        <w:rPr>
          <w:rFonts w:eastAsia="Times New Roman"/>
          <w:b/>
          <w:bCs/>
          <w:color w:val="000000"/>
        </w:rPr>
        <w:t>DUYURUSU</w:t>
      </w:r>
      <w:r>
        <w:rPr>
          <w:rFonts w:eastAsia="Times New Roman"/>
          <w:b/>
          <w:bCs/>
          <w:color w:val="000000"/>
        </w:rPr>
        <w:br/>
      </w:r>
      <w:r>
        <w:rPr>
          <w:rFonts w:eastAsia="Times New Roman"/>
          <w:b/>
          <w:bCs/>
          <w:color w:val="000000"/>
        </w:rPr>
        <w:t xml:space="preserve">                                                                           </w:t>
      </w:r>
      <w:r>
        <w:rPr>
          <w:rFonts w:eastAsia="Times New Roman"/>
          <w:b/>
          <w:bCs/>
          <w:color w:val="000000"/>
        </w:rPr>
        <w:t>(27.09.2022</w:t>
      </w:r>
      <w:r w:rsidRPr="00804E2D">
        <w:rPr>
          <w:rFonts w:eastAsia="Times New Roman"/>
          <w:b/>
          <w:bCs/>
          <w:color w:val="000000"/>
        </w:rPr>
        <w:t>)</w:t>
      </w:r>
      <w:bookmarkStart w:id="0" w:name="_GoBack"/>
      <w:bookmarkEnd w:id="0"/>
    </w:p>
    <w:p w:rsidR="00690719" w:rsidRDefault="00690719" w:rsidP="00690719">
      <w:pPr>
        <w:jc w:val="both"/>
      </w:pPr>
      <w:proofErr w:type="gramStart"/>
      <w:r w:rsidRPr="00804E2D">
        <w:rPr>
          <w:rFonts w:eastAsia="Times New Roman"/>
          <w:color w:val="000000"/>
        </w:rPr>
        <w:t xml:space="preserve">09.11.2018 tarihli Resmi </w:t>
      </w:r>
      <w:proofErr w:type="spellStart"/>
      <w:r w:rsidRPr="00804E2D">
        <w:rPr>
          <w:rFonts w:eastAsia="Times New Roman"/>
          <w:color w:val="000000"/>
        </w:rPr>
        <w:t>Gazete'de</w:t>
      </w:r>
      <w:proofErr w:type="spellEnd"/>
      <w:r w:rsidRPr="00804E2D">
        <w:rPr>
          <w:rFonts w:eastAsia="Times New Roman"/>
          <w:color w:val="000000"/>
        </w:rPr>
        <w:t xml:space="preserve"> yayımlanan “Öğretim Üyesi Dışındaki Öğretim Elemanı Kadrolarına Yapılacak Atamalarda Uygulanacak Merkezi Sınav İle Giriş Sınavlarına İlişkin Usul Ve Esaslar Hakkında Yönetmelik” uyarınca</w:t>
      </w:r>
      <w:r>
        <w:rPr>
          <w:rFonts w:eastAsia="Times New Roman"/>
          <w:color w:val="000000"/>
        </w:rPr>
        <w:t>,</w:t>
      </w:r>
      <w:r w:rsidRPr="00804E2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Üniversitemiz Rehberlik ve Psikolojik Danışmanlık Merkezi’nde </w:t>
      </w:r>
      <w:r w:rsidRPr="00804E2D">
        <w:rPr>
          <w:rFonts w:eastAsia="Times New Roman"/>
          <w:color w:val="000000"/>
        </w:rPr>
        <w:t>görev yapmak üzere ilan edilen Rektörlük öğretim görevlis</w:t>
      </w:r>
      <w:r>
        <w:rPr>
          <w:rFonts w:eastAsia="Times New Roman"/>
          <w:color w:val="000000"/>
        </w:rPr>
        <w:t xml:space="preserve">i kadrosuna başvuran adayların nihai </w:t>
      </w:r>
      <w:r w:rsidRPr="00804E2D">
        <w:rPr>
          <w:rFonts w:eastAsia="Times New Roman"/>
          <w:color w:val="000000"/>
        </w:rPr>
        <w:t>değerlendirme</w:t>
      </w:r>
      <w:r>
        <w:rPr>
          <w:rFonts w:eastAsia="Times New Roman"/>
          <w:color w:val="000000"/>
        </w:rPr>
        <w:t xml:space="preserve"> sonuçları </w:t>
      </w:r>
      <w:r w:rsidRPr="00804E2D">
        <w:rPr>
          <w:rFonts w:eastAsia="Times New Roman"/>
          <w:color w:val="000000"/>
        </w:rPr>
        <w:t>aşağıda verilmektedir.</w:t>
      </w:r>
      <w:proofErr w:type="gramEnd"/>
    </w:p>
    <w:tbl>
      <w:tblPr>
        <w:tblW w:w="9529" w:type="dxa"/>
        <w:tblLayout w:type="fixed"/>
        <w:tblLook w:val="0400" w:firstRow="0" w:lastRow="0" w:firstColumn="0" w:lastColumn="0" w:noHBand="0" w:noVBand="1"/>
      </w:tblPr>
      <w:tblGrid>
        <w:gridCol w:w="1637"/>
        <w:gridCol w:w="972"/>
        <w:gridCol w:w="826"/>
        <w:gridCol w:w="1615"/>
        <w:gridCol w:w="848"/>
        <w:gridCol w:w="1114"/>
        <w:gridCol w:w="1258"/>
        <w:gridCol w:w="1259"/>
      </w:tblGrid>
      <w:tr w:rsidR="00690719" w:rsidTr="00B608A2">
        <w:trPr>
          <w:trHeight w:val="300"/>
        </w:trPr>
        <w:tc>
          <w:tcPr>
            <w:tcW w:w="953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REKTÖRLÜK</w:t>
            </w:r>
            <w:r>
              <w:rPr>
                <w:b/>
                <w:color w:val="000000"/>
              </w:rPr>
              <w:br/>
              <w:t xml:space="preserve">4. DERECE ÖĞRETİM GÖREVLİSİ (1 ADET) </w:t>
            </w:r>
          </w:p>
        </w:tc>
      </w:tr>
      <w:tr w:rsidR="00690719" w:rsidTr="00B608A2">
        <w:trPr>
          <w:trHeight w:val="309"/>
        </w:trPr>
        <w:tc>
          <w:tcPr>
            <w:tcW w:w="953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690719" w:rsidTr="00B608A2">
        <w:trPr>
          <w:trHeight w:val="309"/>
        </w:trPr>
        <w:tc>
          <w:tcPr>
            <w:tcW w:w="953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690719" w:rsidTr="00B608A2">
        <w:trPr>
          <w:trHeight w:val="309"/>
        </w:trPr>
        <w:tc>
          <w:tcPr>
            <w:tcW w:w="953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690719" w:rsidTr="00B608A2">
        <w:trPr>
          <w:trHeight w:val="600"/>
        </w:trPr>
        <w:tc>
          <w:tcPr>
            <w:tcW w:w="16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Ön Değerlendirmeyi Geçen Tüm Adayların T.C. Kimlik Numaraları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GNO</w:t>
            </w:r>
          </w:p>
        </w:tc>
        <w:tc>
          <w:tcPr>
            <w:tcW w:w="4403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Değerlendirmeye Alınan Puanlar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Değerlendirme Puanı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Atanma Durumu</w:t>
            </w:r>
          </w:p>
        </w:tc>
      </w:tr>
      <w:tr w:rsidR="00690719" w:rsidTr="00B608A2">
        <w:trPr>
          <w:trHeight w:val="945"/>
        </w:trPr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ALES Puanı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Yabancı Dil Puanı </w:t>
            </w:r>
          </w:p>
          <w:p w:rsidR="00690719" w:rsidRDefault="00690719" w:rsidP="00B608A2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(veya YDS Eşdeğeri)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Lisans GNO 100’lük Eşdeğeri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Giriş Sınavı Puanı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690719" w:rsidTr="00B608A2">
        <w:trPr>
          <w:trHeight w:val="315"/>
        </w:trPr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 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 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 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% 30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:rsidR="00690719" w:rsidRDefault="00690719" w:rsidP="00B608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690719" w:rsidTr="00B608A2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42*****4784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80.98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78.5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82.3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ASİL</w:t>
            </w:r>
          </w:p>
        </w:tc>
      </w:tr>
      <w:tr w:rsidR="00690719" w:rsidTr="00B608A2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48*****2928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74.61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93.75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81.4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YEDEK</w:t>
            </w:r>
          </w:p>
        </w:tc>
      </w:tr>
      <w:tr w:rsidR="00690719" w:rsidTr="00B608A2">
        <w:trPr>
          <w:trHeight w:val="799"/>
        </w:trPr>
        <w:tc>
          <w:tcPr>
            <w:tcW w:w="1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48*****2976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87.5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71.3</w:t>
            </w: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0719" w:rsidRDefault="00690719" w:rsidP="00B608A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90719" w:rsidRDefault="00690719" w:rsidP="00690719"/>
    <w:p w:rsidR="00DE0E3B" w:rsidRDefault="00DE0E3B"/>
    <w:sectPr w:rsidR="00DE0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19"/>
    <w:rsid w:val="00690719"/>
    <w:rsid w:val="00D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0C87"/>
  <w15:chartTrackingRefBased/>
  <w15:docId w15:val="{DAC8816E-AACF-4F79-97D2-19689F62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719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</dc:creator>
  <cp:keywords/>
  <dc:description/>
  <cp:lastModifiedBy>banu</cp:lastModifiedBy>
  <cp:revision>1</cp:revision>
  <dcterms:created xsi:type="dcterms:W3CDTF">2022-10-06T08:49:00Z</dcterms:created>
  <dcterms:modified xsi:type="dcterms:W3CDTF">2022-10-06T08:53:00Z</dcterms:modified>
</cp:coreProperties>
</file>